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51" w:type="dxa"/>
        <w:tblInd w:w="-1139" w:type="dxa"/>
        <w:tblLook w:val="04A0" w:firstRow="1" w:lastRow="0" w:firstColumn="1" w:lastColumn="0" w:noHBand="0" w:noVBand="1"/>
      </w:tblPr>
      <w:tblGrid>
        <w:gridCol w:w="4962"/>
        <w:gridCol w:w="4961"/>
        <w:gridCol w:w="5528"/>
      </w:tblGrid>
      <w:tr w:rsidR="008719C7" w:rsidRPr="00497BC3" w14:paraId="48442B5D" w14:textId="77777777" w:rsidTr="00AA1E3C">
        <w:trPr>
          <w:trHeight w:val="598"/>
        </w:trPr>
        <w:tc>
          <w:tcPr>
            <w:tcW w:w="15451" w:type="dxa"/>
            <w:gridSpan w:val="3"/>
            <w:shd w:val="clear" w:color="auto" w:fill="FFCDCD"/>
          </w:tcPr>
          <w:p w14:paraId="4E5FB233" w14:textId="2019F5BD" w:rsidR="008719C7" w:rsidRPr="008719C7" w:rsidRDefault="008719C7" w:rsidP="008719C7">
            <w:pPr>
              <w:pStyle w:val="NoSpacing"/>
              <w:jc w:val="center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COMPOSITION</w:t>
            </w:r>
          </w:p>
        </w:tc>
      </w:tr>
      <w:tr w:rsidR="00497BC3" w:rsidRPr="00497BC3" w14:paraId="08A82982" w14:textId="77777777" w:rsidTr="00497BC3">
        <w:trPr>
          <w:trHeight w:val="598"/>
        </w:trPr>
        <w:tc>
          <w:tcPr>
            <w:tcW w:w="4962" w:type="dxa"/>
            <w:shd w:val="clear" w:color="auto" w:fill="FFCDCD"/>
          </w:tcPr>
          <w:p w14:paraId="26904914" w14:textId="77777777" w:rsidR="00497BC3" w:rsidRPr="00497BC3" w:rsidRDefault="00497BC3" w:rsidP="00497BC3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497BC3">
              <w:rPr>
                <w:sz w:val="16"/>
                <w:szCs w:val="16"/>
                <w:lang w:eastAsia="en-GB"/>
              </w:rPr>
              <w:t>AP1 – Core Composition Skills</w:t>
            </w:r>
          </w:p>
          <w:p w14:paraId="08503CB1" w14:textId="77777777" w:rsidR="00497BC3" w:rsidRPr="00497BC3" w:rsidRDefault="00497BC3" w:rsidP="00497BC3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497BC3">
              <w:rPr>
                <w:sz w:val="16"/>
                <w:szCs w:val="16"/>
                <w:lang w:eastAsia="en-GB"/>
              </w:rPr>
              <w:t>Focus: Basic structure, clarity, cohesion, paragraphing.</w:t>
            </w:r>
          </w:p>
          <w:p w14:paraId="0CEEDAC1" w14:textId="77777777" w:rsidR="00497BC3" w:rsidRPr="00497BC3" w:rsidRDefault="00497BC3" w:rsidP="00497B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FFA3A3"/>
          </w:tcPr>
          <w:p w14:paraId="53553B5C" w14:textId="77777777" w:rsidR="00497BC3" w:rsidRPr="00497BC3" w:rsidRDefault="00497BC3" w:rsidP="00497BC3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497BC3">
              <w:rPr>
                <w:sz w:val="16"/>
                <w:szCs w:val="16"/>
                <w:lang w:eastAsia="en-GB"/>
              </w:rPr>
              <w:t>AP2 – Developing Range and Control</w:t>
            </w:r>
          </w:p>
          <w:p w14:paraId="6212727B" w14:textId="00349D20" w:rsidR="00497BC3" w:rsidRPr="00497BC3" w:rsidRDefault="00497BC3" w:rsidP="00497BC3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497BC3">
              <w:rPr>
                <w:sz w:val="16"/>
                <w:szCs w:val="16"/>
                <w:lang w:eastAsia="en-GB"/>
              </w:rPr>
              <w:t>Focus: Varying form, deeper description, cohesion across paragraphs.</w:t>
            </w:r>
          </w:p>
        </w:tc>
        <w:tc>
          <w:tcPr>
            <w:tcW w:w="5528" w:type="dxa"/>
            <w:shd w:val="clear" w:color="auto" w:fill="FF6969"/>
          </w:tcPr>
          <w:p w14:paraId="19DE34E8" w14:textId="77777777" w:rsidR="00497BC3" w:rsidRPr="00497BC3" w:rsidRDefault="00497BC3" w:rsidP="00497BC3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497BC3">
              <w:rPr>
                <w:sz w:val="16"/>
                <w:szCs w:val="16"/>
                <w:lang w:eastAsia="en-GB"/>
              </w:rPr>
              <w:t>AP3 – Independent Application and Refinement</w:t>
            </w:r>
          </w:p>
          <w:p w14:paraId="766F4DCB" w14:textId="2F745C9F" w:rsidR="00497BC3" w:rsidRPr="00497BC3" w:rsidRDefault="00497BC3" w:rsidP="00497BC3">
            <w:pPr>
              <w:pStyle w:val="NoSpacing"/>
              <w:rPr>
                <w:sz w:val="16"/>
                <w:szCs w:val="16"/>
                <w:lang w:eastAsia="en-GB"/>
              </w:rPr>
            </w:pPr>
            <w:r w:rsidRPr="00497BC3">
              <w:rPr>
                <w:sz w:val="16"/>
                <w:szCs w:val="16"/>
                <w:lang w:eastAsia="en-GB"/>
              </w:rPr>
              <w:t>Focus: Fluent, confident writing with shaping and editing for effect.</w:t>
            </w:r>
          </w:p>
        </w:tc>
      </w:tr>
      <w:tr w:rsidR="00497BC3" w:rsidRPr="00497BC3" w14:paraId="080399F0" w14:textId="77777777" w:rsidTr="00497BC3">
        <w:trPr>
          <w:trHeight w:val="949"/>
        </w:trPr>
        <w:tc>
          <w:tcPr>
            <w:tcW w:w="4962" w:type="dxa"/>
            <w:shd w:val="clear" w:color="auto" w:fill="FFCDCD"/>
          </w:tcPr>
          <w:p w14:paraId="17500650" w14:textId="606F9014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Write non-fiction using a consistent structure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Report includes headings, subheadings, and a conclusion.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Focus on layout and logical organisation.</w:t>
            </w:r>
          </w:p>
        </w:tc>
        <w:tc>
          <w:tcPr>
            <w:tcW w:w="4961" w:type="dxa"/>
            <w:shd w:val="clear" w:color="auto" w:fill="FFA3A3"/>
          </w:tcPr>
          <w:p w14:paraId="79D821AA" w14:textId="55AD51DF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Write a wider range of narrative types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(e.g. myth, mystery, suspense).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1st-person suspense narrative using sensory detail and cliff-hangers.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Tone, sentence length, and structure adapt to genre.</w:t>
            </w:r>
          </w:p>
        </w:tc>
        <w:tc>
          <w:tcPr>
            <w:tcW w:w="5528" w:type="dxa"/>
            <w:shd w:val="clear" w:color="auto" w:fill="FF6969"/>
          </w:tcPr>
          <w:p w14:paraId="05A12A9B" w14:textId="42A5DC36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narrative techniques to build suspense or character.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Rhetorical questions, short sentences, cliff-hangers.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Language and structure are used deliberately.</w:t>
            </w:r>
          </w:p>
        </w:tc>
      </w:tr>
      <w:tr w:rsidR="00497BC3" w:rsidRPr="00497BC3" w14:paraId="3586A020" w14:textId="77777777" w:rsidTr="00497BC3">
        <w:trPr>
          <w:trHeight w:val="824"/>
        </w:trPr>
        <w:tc>
          <w:tcPr>
            <w:tcW w:w="4962" w:type="dxa"/>
            <w:shd w:val="clear" w:color="auto" w:fill="FFCDCD"/>
          </w:tcPr>
          <w:p w14:paraId="51844FA6" w14:textId="027AD6F1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Write narratives with a clear beginning, middle and end.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A myth with a clear problem, climax, and resolution.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Events should follow a logical, well-paced sequence.</w:t>
            </w:r>
          </w:p>
        </w:tc>
        <w:tc>
          <w:tcPr>
            <w:tcW w:w="4961" w:type="dxa"/>
            <w:shd w:val="clear" w:color="auto" w:fill="FFA3A3"/>
          </w:tcPr>
          <w:p w14:paraId="3404DA2E" w14:textId="45553B89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similes, metaphors and powerful adjectives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for description.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“The wind howled like a wolf.” “The sea was a blanket of glass.”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Language builds atmosphere or tone.</w:t>
            </w:r>
          </w:p>
        </w:tc>
        <w:tc>
          <w:tcPr>
            <w:tcW w:w="5528" w:type="dxa"/>
            <w:shd w:val="clear" w:color="auto" w:fill="FF6969"/>
          </w:tcPr>
          <w:p w14:paraId="7106F11E" w14:textId="3B7C54EB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Write independently in a range of genres using genre-specific layout.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A newspaper article with a headline, lead paragraph, and quotes.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Form and function match across genres.</w:t>
            </w:r>
          </w:p>
        </w:tc>
      </w:tr>
      <w:tr w:rsidR="00497BC3" w:rsidRPr="00497BC3" w14:paraId="7DDBB3A0" w14:textId="77777777" w:rsidTr="00497BC3">
        <w:trPr>
          <w:trHeight w:val="846"/>
        </w:trPr>
        <w:tc>
          <w:tcPr>
            <w:tcW w:w="4962" w:type="dxa"/>
            <w:shd w:val="clear" w:color="auto" w:fill="FFCDCD"/>
          </w:tcPr>
          <w:p w14:paraId="5957DDB9" w14:textId="5D50D6B5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Write using familiar genres with clear purpose.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Recount of a school trip or a ‘How to…’ guide.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Structure should support reader understanding.</w:t>
            </w:r>
          </w:p>
        </w:tc>
        <w:tc>
          <w:tcPr>
            <w:tcW w:w="4961" w:type="dxa"/>
            <w:shd w:val="clear" w:color="auto" w:fill="FFA3A3"/>
          </w:tcPr>
          <w:p w14:paraId="4A385B60" w14:textId="75A43D63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pronouns and nouns appropriately to aid cohesion.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“Ben loved climbing. He practised every day.”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Pronouns used to avoid clumsy repetition.</w:t>
            </w:r>
          </w:p>
        </w:tc>
        <w:tc>
          <w:tcPr>
            <w:tcW w:w="5528" w:type="dxa"/>
            <w:shd w:val="clear" w:color="auto" w:fill="FF6969"/>
          </w:tcPr>
          <w:p w14:paraId="12436563" w14:textId="10B3E6D5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Add dialogue that develops character or moves the story forward.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“You’re not welcome here,” snarled the man, stepping closer.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Speech is purposeful, not filler.</w:t>
            </w:r>
          </w:p>
        </w:tc>
      </w:tr>
      <w:tr w:rsidR="00497BC3" w:rsidRPr="00497BC3" w14:paraId="1BD721BE" w14:textId="77777777" w:rsidTr="00497BC3">
        <w:trPr>
          <w:trHeight w:val="844"/>
        </w:trPr>
        <w:tc>
          <w:tcPr>
            <w:tcW w:w="4962" w:type="dxa"/>
            <w:shd w:val="clear" w:color="auto" w:fill="FFCDCD"/>
          </w:tcPr>
          <w:p w14:paraId="04CC768B" w14:textId="73A4C12F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expanded noun phrases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to describe character/setting.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“The grumpy, red-faced giant with tangled hair…”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Encourage specific details to build clearer images.</w:t>
            </w:r>
          </w:p>
        </w:tc>
        <w:tc>
          <w:tcPr>
            <w:tcW w:w="4961" w:type="dxa"/>
            <w:shd w:val="clear" w:color="auto" w:fill="FFA3A3"/>
          </w:tcPr>
          <w:p w14:paraId="2FFFEAED" w14:textId="109A8FBF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Proofread for repetition, missing words, and verb–subject agreement.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Correcting “We was happy” to “We were happy.”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Editing goes beyond surface-level spotting.</w:t>
            </w:r>
          </w:p>
        </w:tc>
        <w:tc>
          <w:tcPr>
            <w:tcW w:w="5528" w:type="dxa"/>
            <w:shd w:val="clear" w:color="auto" w:fill="FF6969"/>
          </w:tcPr>
          <w:p w14:paraId="5DD71C27" w14:textId="70845891" w:rsidR="00497BC3" w:rsidRPr="00497BC3" w:rsidRDefault="00497BC3" w:rsidP="00FA2F70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editing to improve vocabulary, cohesion, and impact.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Replacing “walked slowly” with “crept silently”.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Edits show growing authorial intention.</w:t>
            </w:r>
          </w:p>
        </w:tc>
      </w:tr>
      <w:tr w:rsidR="00497BC3" w:rsidRPr="00497BC3" w14:paraId="1F0C1DCD" w14:textId="77777777" w:rsidTr="00B81067">
        <w:trPr>
          <w:trHeight w:val="969"/>
        </w:trPr>
        <w:tc>
          <w:tcPr>
            <w:tcW w:w="4962" w:type="dxa"/>
            <w:shd w:val="clear" w:color="auto" w:fill="FFCDCD"/>
          </w:tcPr>
          <w:p w14:paraId="27363125" w14:textId="70E47B27" w:rsidR="00497BC3" w:rsidRPr="00B81067" w:rsidRDefault="00497BC3" w:rsidP="00B8106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Organise writing into paragraphs around a theme.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In a report on tigers, separate paragraphs for habitat, diet, appearance.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Use TIPTOP rule (Time, Place, Topic, Person).</w:t>
            </w:r>
          </w:p>
        </w:tc>
        <w:tc>
          <w:tcPr>
            <w:tcW w:w="4961" w:type="dxa"/>
            <w:shd w:val="clear" w:color="auto" w:fill="FFA3A3"/>
          </w:tcPr>
          <w:p w14:paraId="028CD33A" w14:textId="4A957F1C" w:rsidR="00497BC3" w:rsidRPr="00B81067" w:rsidRDefault="00497BC3" w:rsidP="00B8106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fronted adverbials regularly and correctly.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“Without warning, the rain poured down.”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Use commas and vary adverbial type (time, place, manner)</w:t>
            </w:r>
          </w:p>
        </w:tc>
        <w:tc>
          <w:tcPr>
            <w:tcW w:w="5528" w:type="dxa"/>
            <w:shd w:val="clear" w:color="auto" w:fill="FF6969"/>
          </w:tcPr>
          <w:p w14:paraId="02547FD8" w14:textId="69C082DC" w:rsidR="00497BC3" w:rsidRPr="00B81067" w:rsidRDefault="00497BC3" w:rsidP="00B8106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Vary sentence types and openers for effect.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Questions, exclamations, commands, and varied clause order.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Writing becomes more dynamic and crafted.</w:t>
            </w:r>
          </w:p>
        </w:tc>
      </w:tr>
      <w:tr w:rsidR="00497BC3" w:rsidRPr="00497BC3" w14:paraId="0AAF18CE" w14:textId="77777777" w:rsidTr="00B81067">
        <w:trPr>
          <w:trHeight w:val="728"/>
        </w:trPr>
        <w:tc>
          <w:tcPr>
            <w:tcW w:w="4962" w:type="dxa"/>
            <w:shd w:val="clear" w:color="auto" w:fill="FFCDCD"/>
          </w:tcPr>
          <w:p w14:paraId="649BF3B8" w14:textId="1FE2FEF8" w:rsidR="00497BC3" w:rsidRPr="00B81067" w:rsidRDefault="00497BC3" w:rsidP="00B8106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Maintain tense accurately across a piece.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Past tense throughout a story.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Avoid switching from past to present or vice versa mid-text.</w:t>
            </w:r>
          </w:p>
        </w:tc>
        <w:tc>
          <w:tcPr>
            <w:tcW w:w="4961" w:type="dxa"/>
            <w:shd w:val="clear" w:color="auto" w:fill="FFA3A3"/>
          </w:tcPr>
          <w:p w14:paraId="2094D40D" w14:textId="77777777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paragraphing with more control, managing shifts in topic or event.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A suspense narrative switches paragraphs between action and reaction.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Paragraphs aren't just physical — they guide the reader’s journey.</w:t>
            </w:r>
          </w:p>
          <w:p w14:paraId="4DE1BD46" w14:textId="4823ED5F" w:rsidR="00497BC3" w:rsidRPr="00497BC3" w:rsidRDefault="00497BC3" w:rsidP="009E136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FF6969"/>
          </w:tcPr>
          <w:p w14:paraId="3B78C648" w14:textId="3C64D896" w:rsidR="00497BC3" w:rsidRPr="00B81067" w:rsidRDefault="00497BC3" w:rsidP="00B81067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Maintain a consistent voice appropriate to purpose.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A formal tone in an explanation, a lively voice in a narrative.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Reader and purpose are clearly considered.</w:t>
            </w:r>
          </w:p>
        </w:tc>
      </w:tr>
      <w:tr w:rsidR="008719C7" w:rsidRPr="00497BC3" w14:paraId="4E105B69" w14:textId="77777777" w:rsidTr="008719C7">
        <w:trPr>
          <w:trHeight w:val="501"/>
        </w:trPr>
        <w:tc>
          <w:tcPr>
            <w:tcW w:w="15451" w:type="dxa"/>
            <w:gridSpan w:val="3"/>
            <w:tcBorders>
              <w:bottom w:val="single" w:sz="4" w:space="0" w:color="auto"/>
            </w:tcBorders>
            <w:shd w:val="clear" w:color="auto" w:fill="B9FFB9"/>
            <w:vAlign w:val="center"/>
          </w:tcPr>
          <w:p w14:paraId="3AA7AFCF" w14:textId="64385B57" w:rsidR="008719C7" w:rsidRPr="008719C7" w:rsidRDefault="008719C7" w:rsidP="008719C7">
            <w:pPr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8719C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VOCABULARY, GRAMMAR and PUNCTUATION</w:t>
            </w:r>
          </w:p>
        </w:tc>
      </w:tr>
      <w:tr w:rsidR="00497BC3" w:rsidRPr="00497BC3" w14:paraId="32D5995C" w14:textId="77777777" w:rsidTr="00497BC3">
        <w:trPr>
          <w:trHeight w:val="50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B9FFB9"/>
          </w:tcPr>
          <w:p w14:paraId="15CF2085" w14:textId="5B346E04" w:rsidR="00497BC3" w:rsidRPr="00497BC3" w:rsidRDefault="00497BC3" w:rsidP="00497BC3">
            <w:pPr>
              <w:rPr>
                <w:sz w:val="16"/>
                <w:szCs w:val="16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AP1 – Foundations of sentence construction and core vocabulary use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65FF65"/>
          </w:tcPr>
          <w:p w14:paraId="461F4C6F" w14:textId="056D7F1A" w:rsidR="00497BC3" w:rsidRPr="00497BC3" w:rsidRDefault="00497BC3" w:rsidP="00497BC3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AP2 – Developing Range and Control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00FE00"/>
          </w:tcPr>
          <w:p w14:paraId="39C4080E" w14:textId="54B1AE48" w:rsidR="00497BC3" w:rsidRPr="00497BC3" w:rsidRDefault="00497BC3" w:rsidP="00497BC3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AP3 – Independent Application and Refinement</w:t>
            </w:r>
          </w:p>
        </w:tc>
      </w:tr>
      <w:tr w:rsidR="00497BC3" w:rsidRPr="00497BC3" w14:paraId="5F50E462" w14:textId="77777777" w:rsidTr="00497BC3">
        <w:trPr>
          <w:trHeight w:val="582"/>
        </w:trPr>
        <w:tc>
          <w:tcPr>
            <w:tcW w:w="4962" w:type="dxa"/>
            <w:shd w:val="clear" w:color="auto" w:fill="B9FFB9"/>
          </w:tcPr>
          <w:p w14:paraId="476928D3" w14:textId="7FE9ED4F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full stops, capital letters, question marks, and exclamation marks securely.</w:t>
            </w:r>
          </w:p>
        </w:tc>
        <w:tc>
          <w:tcPr>
            <w:tcW w:w="4961" w:type="dxa"/>
            <w:shd w:val="clear" w:color="auto" w:fill="65FF65"/>
          </w:tcPr>
          <w:p w14:paraId="28500EA8" w14:textId="2399107A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noun/pronoun cohesion confidently.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Avoid repetition and clunky phrasing.</w:t>
            </w:r>
          </w:p>
        </w:tc>
        <w:tc>
          <w:tcPr>
            <w:tcW w:w="5528" w:type="dxa"/>
            <w:shd w:val="clear" w:color="auto" w:fill="00FE00"/>
          </w:tcPr>
          <w:p w14:paraId="224EFB01" w14:textId="036DAA92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sentence types effectively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(commands, exclamations, questions).</w:t>
            </w:r>
          </w:p>
        </w:tc>
      </w:tr>
      <w:tr w:rsidR="00497BC3" w:rsidRPr="00497BC3" w14:paraId="33290B75" w14:textId="77777777" w:rsidTr="00497BC3">
        <w:trPr>
          <w:trHeight w:val="148"/>
        </w:trPr>
        <w:tc>
          <w:tcPr>
            <w:tcW w:w="4962" w:type="dxa"/>
            <w:shd w:val="clear" w:color="auto" w:fill="B9FFB9"/>
          </w:tcPr>
          <w:p w14:paraId="3D56684E" w14:textId="71A36E98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lastRenderedPageBreak/>
              <w:t>Use commas in lists and after fronted adverbials.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“Before the sun rose, the soldiers were ready.”</w:t>
            </w:r>
          </w:p>
        </w:tc>
        <w:tc>
          <w:tcPr>
            <w:tcW w:w="4961" w:type="dxa"/>
            <w:shd w:val="clear" w:color="auto" w:fill="65FF65"/>
          </w:tcPr>
          <w:p w14:paraId="36EC56F9" w14:textId="432789BB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adverbials of time, manner, place, and frequency.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Examples: “Suddenly,” “Often,” “Next to the car,”</w:t>
            </w:r>
          </w:p>
        </w:tc>
        <w:tc>
          <w:tcPr>
            <w:tcW w:w="5528" w:type="dxa"/>
            <w:shd w:val="clear" w:color="auto" w:fill="00FE00"/>
          </w:tcPr>
          <w:p w14:paraId="23D151BF" w14:textId="70A49EEE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apostrophes for plural possession accurately.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“the girls’ coats” (more than one girl)</w:t>
            </w:r>
          </w:p>
        </w:tc>
      </w:tr>
      <w:tr w:rsidR="00497BC3" w:rsidRPr="00497BC3" w14:paraId="79DEDDC8" w14:textId="77777777" w:rsidTr="00497BC3">
        <w:trPr>
          <w:trHeight w:val="560"/>
        </w:trPr>
        <w:tc>
          <w:tcPr>
            <w:tcW w:w="4962" w:type="dxa"/>
            <w:shd w:val="clear" w:color="auto" w:fill="B9FFB9"/>
          </w:tcPr>
          <w:p w14:paraId="48A9580D" w14:textId="1127EF04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apostrophes for possession and omission.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Examples: “can’t”, “the teacher’s desk”, “the dogs’ tails”</w:t>
            </w:r>
          </w:p>
        </w:tc>
        <w:tc>
          <w:tcPr>
            <w:tcW w:w="4961" w:type="dxa"/>
            <w:shd w:val="clear" w:color="auto" w:fill="65FF65"/>
          </w:tcPr>
          <w:p w14:paraId="23A3CEAE" w14:textId="7ED23503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a range of speech verbs for character.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Examples: whispered, shouted, pleaded, snapped.</w:t>
            </w:r>
          </w:p>
        </w:tc>
        <w:tc>
          <w:tcPr>
            <w:tcW w:w="5528" w:type="dxa"/>
            <w:shd w:val="clear" w:color="auto" w:fill="00FE00"/>
          </w:tcPr>
          <w:p w14:paraId="5E3CA886" w14:textId="12EB6C1E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Manipulate sentence structure for clarity and emphasis.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“Frightened and alone, the boy edged forward.”</w:t>
            </w:r>
          </w:p>
        </w:tc>
      </w:tr>
      <w:tr w:rsidR="00497BC3" w:rsidRPr="00497BC3" w14:paraId="19D1FBF0" w14:textId="77777777" w:rsidTr="00497BC3">
        <w:trPr>
          <w:trHeight w:val="737"/>
        </w:trPr>
        <w:tc>
          <w:tcPr>
            <w:tcW w:w="4962" w:type="dxa"/>
            <w:shd w:val="clear" w:color="auto" w:fill="B9FFB9"/>
          </w:tcPr>
          <w:p w14:paraId="68789D01" w14:textId="77777777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inverted commas with punctuation for direct speech.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“I’m leaving,” she said.</w:t>
            </w:r>
          </w:p>
          <w:p w14:paraId="75EF4B12" w14:textId="77777777" w:rsidR="00497BC3" w:rsidRPr="00497BC3" w:rsidRDefault="00497BC3" w:rsidP="00497BC3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65FF65"/>
          </w:tcPr>
          <w:p w14:paraId="781FF6D5" w14:textId="1E3D85E9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Expand noun phrases with prepositions and adjectives.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“The curious girl with tangled hair stood at the gate.”</w:t>
            </w:r>
          </w:p>
        </w:tc>
        <w:tc>
          <w:tcPr>
            <w:tcW w:w="5528" w:type="dxa"/>
            <w:shd w:val="clear" w:color="auto" w:fill="00FE00"/>
          </w:tcPr>
          <w:p w14:paraId="21CA6FF9" w14:textId="77777777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fronted adverbials for cohesion and style.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Adverbials are chosen for impact, not just used routinely.</w:t>
            </w:r>
          </w:p>
          <w:p w14:paraId="7D4D4EF9" w14:textId="3EED5922" w:rsidR="00497BC3" w:rsidRPr="00497BC3" w:rsidRDefault="00497BC3" w:rsidP="00497BC3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497BC3" w:rsidRPr="00497BC3" w14:paraId="025FD728" w14:textId="77777777" w:rsidTr="00497BC3">
        <w:trPr>
          <w:trHeight w:val="385"/>
        </w:trPr>
        <w:tc>
          <w:tcPr>
            <w:tcW w:w="4962" w:type="dxa"/>
            <w:shd w:val="clear" w:color="auto" w:fill="B9FFB9"/>
          </w:tcPr>
          <w:p w14:paraId="27BAEBDF" w14:textId="40497734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simple coordinating conjunctions correctly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(and, but, or).</w:t>
            </w:r>
          </w:p>
        </w:tc>
        <w:tc>
          <w:tcPr>
            <w:tcW w:w="4961" w:type="dxa"/>
            <w:shd w:val="clear" w:color="auto" w:fill="65FF65"/>
          </w:tcPr>
          <w:p w14:paraId="61CC0895" w14:textId="77777777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Standard English forms in writing.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Examples: “I did”, “We were” – not “I done”, “We was”</w:t>
            </w:r>
          </w:p>
          <w:p w14:paraId="48F7A101" w14:textId="77777777" w:rsidR="00497BC3" w:rsidRPr="00497BC3" w:rsidRDefault="00497BC3" w:rsidP="00497BC3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00FE00"/>
          </w:tcPr>
          <w:p w14:paraId="3774F3EC" w14:textId="77777777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Select grammar and punctuation for effect.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Ellipsis for suspense: “He turned… it was gone.”</w:t>
            </w:r>
          </w:p>
          <w:p w14:paraId="5EE878C8" w14:textId="77777777" w:rsidR="00497BC3" w:rsidRPr="00497BC3" w:rsidRDefault="00497BC3" w:rsidP="00497BC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7BC3" w:rsidRPr="00497BC3" w14:paraId="29FAF58D" w14:textId="77777777" w:rsidTr="00497BC3">
        <w:trPr>
          <w:trHeight w:val="579"/>
        </w:trPr>
        <w:tc>
          <w:tcPr>
            <w:tcW w:w="4962" w:type="dxa"/>
            <w:shd w:val="clear" w:color="auto" w:fill="B9FFB9"/>
          </w:tcPr>
          <w:p w14:paraId="5940CCBD" w14:textId="4C9562EE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Begin to vary sentence openers using adverbials.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“In the distance, something moved.”</w:t>
            </w:r>
          </w:p>
        </w:tc>
        <w:tc>
          <w:tcPr>
            <w:tcW w:w="4961" w:type="dxa"/>
            <w:shd w:val="clear" w:color="auto" w:fill="65FF65"/>
          </w:tcPr>
          <w:p w14:paraId="25FB5A09" w14:textId="3EB18EB8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Control tense and subject–verb agreement.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“They were going…” vs “They was going…”</w:t>
            </w:r>
          </w:p>
        </w:tc>
        <w:tc>
          <w:tcPr>
            <w:tcW w:w="5528" w:type="dxa"/>
            <w:shd w:val="clear" w:color="auto" w:fill="00FE00"/>
          </w:tcPr>
          <w:p w14:paraId="36B9C9E9" w14:textId="32813103" w:rsidR="00497BC3" w:rsidRPr="00497BC3" w:rsidRDefault="0004261C" w:rsidP="00497BC3">
            <w:pPr>
              <w:rPr>
                <w:rFonts w:cstheme="minorHAnsi"/>
                <w:sz w:val="16"/>
                <w:szCs w:val="16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a full range of punctuation from previous years accurately.</w:t>
            </w:r>
          </w:p>
        </w:tc>
      </w:tr>
      <w:tr w:rsidR="008719C7" w:rsidRPr="00497BC3" w14:paraId="7B4B41DF" w14:textId="77777777" w:rsidTr="008719C7">
        <w:trPr>
          <w:trHeight w:val="590"/>
        </w:trPr>
        <w:tc>
          <w:tcPr>
            <w:tcW w:w="15451" w:type="dxa"/>
            <w:gridSpan w:val="3"/>
            <w:shd w:val="clear" w:color="auto" w:fill="B5E9F9"/>
            <w:vAlign w:val="center"/>
          </w:tcPr>
          <w:p w14:paraId="11BF8483" w14:textId="287E635C" w:rsidR="008719C7" w:rsidRPr="00497BC3" w:rsidRDefault="008719C7" w:rsidP="008719C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TRANSCIPTION</w:t>
            </w:r>
          </w:p>
        </w:tc>
      </w:tr>
      <w:tr w:rsidR="00497BC3" w:rsidRPr="00497BC3" w14:paraId="7E8590FF" w14:textId="77777777" w:rsidTr="0004261C">
        <w:trPr>
          <w:trHeight w:val="590"/>
        </w:trPr>
        <w:tc>
          <w:tcPr>
            <w:tcW w:w="4962" w:type="dxa"/>
            <w:shd w:val="clear" w:color="auto" w:fill="B5E9F9"/>
          </w:tcPr>
          <w:p w14:paraId="4155A3AC" w14:textId="77777777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Spell Year 3/4 common exception words correctly.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Examples: calendar, grammar, material, interest</w:t>
            </w:r>
          </w:p>
          <w:p w14:paraId="4583BA3B" w14:textId="77777777" w:rsidR="00497BC3" w:rsidRPr="00497BC3" w:rsidRDefault="00497BC3" w:rsidP="00497BC3">
            <w:pPr>
              <w:spacing w:before="100" w:beforeAutospacing="1" w:after="100" w:afterAutospacing="1"/>
              <w:ind w:left="360"/>
              <w:rPr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64D0F2"/>
          </w:tcPr>
          <w:p w14:paraId="698C394E" w14:textId="7B782B89" w:rsidR="00497BC3" w:rsidRPr="0004261C" w:rsidRDefault="00497BC3" w:rsidP="0004261C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Spell words with common prefixes correctly.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Examples: “disagree”, “impossible”, “autograph”</w:t>
            </w:r>
          </w:p>
        </w:tc>
        <w:tc>
          <w:tcPr>
            <w:tcW w:w="5528" w:type="dxa"/>
            <w:shd w:val="clear" w:color="auto" w:fill="13B1E3"/>
          </w:tcPr>
          <w:p w14:paraId="447BA69B" w14:textId="77777777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Spell words across a range of Year 4 curriculum content correctly in context.</w:t>
            </w:r>
          </w:p>
          <w:p w14:paraId="437F574D" w14:textId="77777777" w:rsidR="00497BC3" w:rsidRPr="00497BC3" w:rsidRDefault="00497BC3" w:rsidP="00497BC3">
            <w:pPr>
              <w:rPr>
                <w:sz w:val="16"/>
                <w:szCs w:val="16"/>
              </w:rPr>
            </w:pPr>
          </w:p>
        </w:tc>
      </w:tr>
      <w:tr w:rsidR="00497BC3" w:rsidRPr="00497BC3" w14:paraId="46104CED" w14:textId="77777777" w:rsidTr="0004261C">
        <w:trPr>
          <w:trHeight w:val="675"/>
        </w:trPr>
        <w:tc>
          <w:tcPr>
            <w:tcW w:w="4962" w:type="dxa"/>
            <w:shd w:val="clear" w:color="auto" w:fill="B5E9F9"/>
          </w:tcPr>
          <w:p w14:paraId="168DC23A" w14:textId="77777777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joined handwriting that is legible.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Handwriting should support fluency and consistency.</w:t>
            </w:r>
          </w:p>
          <w:p w14:paraId="748186E8" w14:textId="77777777" w:rsidR="00497BC3" w:rsidRPr="00497BC3" w:rsidRDefault="00497BC3" w:rsidP="00497BC3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961" w:type="dxa"/>
            <w:shd w:val="clear" w:color="auto" w:fill="64D0F2"/>
          </w:tcPr>
          <w:p w14:paraId="32063921" w14:textId="77777777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Spell common suffixes (-ly, -ous, -tion, -sion).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Examples: “usually”, “poisonous”, “adoration”</w:t>
            </w:r>
          </w:p>
          <w:p w14:paraId="28215557" w14:textId="77777777" w:rsidR="00497BC3" w:rsidRPr="00497BC3" w:rsidRDefault="00497BC3" w:rsidP="00497BC3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13B1E3"/>
          </w:tcPr>
          <w:p w14:paraId="4072F0E8" w14:textId="77777777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Maintain a consistent, fluent joined style in extended writing.</w:t>
            </w:r>
          </w:p>
          <w:p w14:paraId="21D3A32E" w14:textId="77777777" w:rsidR="00497BC3" w:rsidRPr="00497BC3" w:rsidRDefault="00497BC3" w:rsidP="00497BC3">
            <w:pPr>
              <w:rPr>
                <w:sz w:val="16"/>
                <w:szCs w:val="16"/>
              </w:rPr>
            </w:pPr>
          </w:p>
        </w:tc>
      </w:tr>
      <w:tr w:rsidR="00497BC3" w:rsidRPr="00497BC3" w14:paraId="5AB71B6F" w14:textId="77777777" w:rsidTr="0004261C">
        <w:trPr>
          <w:trHeight w:val="630"/>
        </w:trPr>
        <w:tc>
          <w:tcPr>
            <w:tcW w:w="4962" w:type="dxa"/>
            <w:shd w:val="clear" w:color="auto" w:fill="B5E9F9"/>
          </w:tcPr>
          <w:p w14:paraId="70D1D7FA" w14:textId="77777777" w:rsidR="00497BC3" w:rsidRPr="00497BC3" w:rsidRDefault="00497BC3" w:rsidP="00497BC3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961" w:type="dxa"/>
            <w:shd w:val="clear" w:color="auto" w:fill="64D0F2"/>
          </w:tcPr>
          <w:p w14:paraId="1B4839DA" w14:textId="77777777" w:rsidR="00497BC3" w:rsidRPr="00497BC3" w:rsidRDefault="00497BC3" w:rsidP="00497BC3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497BC3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Spell high-frequency homophones accurately.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497BC3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497BC3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497BC3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Examples: “witch/which”, “their/there/they’re”</w:t>
            </w:r>
          </w:p>
          <w:p w14:paraId="3D57837D" w14:textId="77777777" w:rsidR="00497BC3" w:rsidRPr="00497BC3" w:rsidRDefault="00497BC3" w:rsidP="00497BC3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528" w:type="dxa"/>
            <w:shd w:val="clear" w:color="auto" w:fill="13B1E3"/>
          </w:tcPr>
          <w:p w14:paraId="615C268E" w14:textId="77777777" w:rsidR="00497BC3" w:rsidRPr="00497BC3" w:rsidRDefault="00497BC3" w:rsidP="00497BC3">
            <w:pPr>
              <w:rPr>
                <w:sz w:val="16"/>
                <w:szCs w:val="16"/>
              </w:rPr>
            </w:pPr>
          </w:p>
        </w:tc>
      </w:tr>
    </w:tbl>
    <w:p w14:paraId="651880C5" w14:textId="77777777" w:rsidR="00C21B62" w:rsidRDefault="00C21B62"/>
    <w:p w14:paraId="7810E266" w14:textId="77777777" w:rsidR="00B72EEB" w:rsidRPr="00B72EEB" w:rsidRDefault="00B72EEB" w:rsidP="00B72EEB">
      <w:pPr>
        <w:spacing w:after="0" w:line="240" w:lineRule="auto"/>
        <w:ind w:left="360"/>
        <w:rPr>
          <w:rFonts w:eastAsia="Times New Roman" w:cstheme="minorHAnsi"/>
          <w:sz w:val="16"/>
          <w:szCs w:val="16"/>
          <w:lang w:eastAsia="en-GB"/>
        </w:rPr>
      </w:pPr>
    </w:p>
    <w:p w14:paraId="761AD460" w14:textId="203E8584" w:rsidR="004C213F" w:rsidRPr="00FA2F70" w:rsidRDefault="004C213F" w:rsidP="00FA2F70">
      <w:pPr>
        <w:spacing w:after="0" w:line="240" w:lineRule="auto"/>
        <w:ind w:left="360"/>
        <w:rPr>
          <w:rFonts w:eastAsia="Times New Roman" w:cstheme="minorHAnsi"/>
          <w:sz w:val="16"/>
          <w:szCs w:val="16"/>
          <w:lang w:eastAsia="en-GB"/>
        </w:rPr>
      </w:pPr>
    </w:p>
    <w:p w14:paraId="24FBA7FD" w14:textId="552E9AF2" w:rsidR="004C213F" w:rsidRPr="00FA2F70" w:rsidRDefault="004C213F" w:rsidP="00FA2F70">
      <w:pPr>
        <w:spacing w:after="0" w:line="240" w:lineRule="auto"/>
        <w:ind w:left="360"/>
        <w:rPr>
          <w:rFonts w:eastAsia="Times New Roman" w:cstheme="minorHAnsi"/>
          <w:sz w:val="16"/>
          <w:szCs w:val="16"/>
          <w:lang w:eastAsia="en-GB"/>
        </w:rPr>
      </w:pPr>
    </w:p>
    <w:p w14:paraId="4219D8A0" w14:textId="6638F455" w:rsidR="004C213F" w:rsidRPr="00FA2F70" w:rsidRDefault="004C213F" w:rsidP="00391E87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</w:p>
    <w:p w14:paraId="3ACA6548" w14:textId="77777777" w:rsidR="00B72EEB" w:rsidRPr="00FA2F70" w:rsidRDefault="00B72EEB" w:rsidP="00FA2F70">
      <w:pPr>
        <w:rPr>
          <w:rFonts w:cstheme="minorHAnsi"/>
          <w:sz w:val="16"/>
          <w:szCs w:val="16"/>
        </w:rPr>
      </w:pPr>
    </w:p>
    <w:sectPr w:rsidR="00B72EEB" w:rsidRPr="00FA2F70" w:rsidSect="00B72E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B1C6" w14:textId="77777777" w:rsidR="003B6198" w:rsidRDefault="003B6198" w:rsidP="00EF69F5">
      <w:pPr>
        <w:spacing w:after="0" w:line="240" w:lineRule="auto"/>
      </w:pPr>
      <w:r>
        <w:separator/>
      </w:r>
    </w:p>
  </w:endnote>
  <w:endnote w:type="continuationSeparator" w:id="0">
    <w:p w14:paraId="19B16510" w14:textId="77777777" w:rsidR="003B6198" w:rsidRDefault="003B6198" w:rsidP="00EF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F6F0" w14:textId="77777777" w:rsidR="00197FA0" w:rsidRDefault="00197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29D30" w14:textId="77777777" w:rsidR="00197FA0" w:rsidRDefault="00197F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C64B" w14:textId="77777777" w:rsidR="00197FA0" w:rsidRDefault="00197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5610C" w14:textId="77777777" w:rsidR="003B6198" w:rsidRDefault="003B6198" w:rsidP="00EF69F5">
      <w:pPr>
        <w:spacing w:after="0" w:line="240" w:lineRule="auto"/>
      </w:pPr>
      <w:r>
        <w:separator/>
      </w:r>
    </w:p>
  </w:footnote>
  <w:footnote w:type="continuationSeparator" w:id="0">
    <w:p w14:paraId="32170E5D" w14:textId="77777777" w:rsidR="003B6198" w:rsidRDefault="003B6198" w:rsidP="00EF6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8C31" w14:textId="77777777" w:rsidR="00197FA0" w:rsidRDefault="00197F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69B1" w14:textId="2A74891C" w:rsidR="00EF69F5" w:rsidRPr="005723B3" w:rsidRDefault="00EF69F5" w:rsidP="00EF69F5">
    <w:pPr>
      <w:pStyle w:val="Header"/>
      <w:ind w:hanging="1134"/>
      <w:rPr>
        <w:b/>
        <w:bCs/>
        <w:sz w:val="36"/>
        <w:szCs w:val="36"/>
      </w:rPr>
    </w:pPr>
    <w:r w:rsidRPr="005723B3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6DB0BA8E" wp14:editId="2FF1DAFD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583406" cy="381000"/>
          <wp:effectExtent l="0" t="0" r="7620" b="0"/>
          <wp:wrapNone/>
          <wp:docPr id="2048858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858249" name="Picture 20488582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406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3B3">
      <w:rPr>
        <w:b/>
        <w:bCs/>
        <w:sz w:val="36"/>
        <w:szCs w:val="36"/>
      </w:rPr>
      <w:t xml:space="preserve">EPA Trust – Writing </w:t>
    </w:r>
    <w:r w:rsidR="00197FA0">
      <w:rPr>
        <w:b/>
        <w:bCs/>
        <w:sz w:val="36"/>
        <w:szCs w:val="36"/>
      </w:rPr>
      <w:t>Assessment Framework</w:t>
    </w:r>
    <w:r w:rsidRPr="005723B3">
      <w:rPr>
        <w:b/>
        <w:bCs/>
        <w:sz w:val="36"/>
        <w:szCs w:val="36"/>
      </w:rPr>
      <w:t xml:space="preserve"> – Year </w:t>
    </w:r>
    <w:r>
      <w:rPr>
        <w:b/>
        <w:bCs/>
        <w:sz w:val="36"/>
        <w:szCs w:val="36"/>
      </w:rPr>
      <w:t>4</w:t>
    </w:r>
    <w:r w:rsidRPr="005723B3">
      <w:rPr>
        <w:b/>
        <w:bCs/>
        <w:sz w:val="36"/>
        <w:szCs w:val="36"/>
      </w:rPr>
      <w:t xml:space="preserve"> – ARE</w:t>
    </w:r>
  </w:p>
  <w:p w14:paraId="2A2829E5" w14:textId="77777777" w:rsidR="00EF69F5" w:rsidRDefault="00EF69F5" w:rsidP="00EF69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19CC" w14:textId="77777777" w:rsidR="00197FA0" w:rsidRDefault="00197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72902"/>
    <w:multiLevelType w:val="multilevel"/>
    <w:tmpl w:val="D63413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93D4A"/>
    <w:multiLevelType w:val="multilevel"/>
    <w:tmpl w:val="E02453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C52FD"/>
    <w:multiLevelType w:val="hybridMultilevel"/>
    <w:tmpl w:val="112E767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B348C"/>
    <w:multiLevelType w:val="hybridMultilevel"/>
    <w:tmpl w:val="2E2A6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E1C7B"/>
    <w:multiLevelType w:val="multilevel"/>
    <w:tmpl w:val="9B92D7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C5611"/>
    <w:multiLevelType w:val="multilevel"/>
    <w:tmpl w:val="1DCA13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8694F"/>
    <w:multiLevelType w:val="hybridMultilevel"/>
    <w:tmpl w:val="96525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C5AF5"/>
    <w:multiLevelType w:val="multilevel"/>
    <w:tmpl w:val="41F26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84D82"/>
    <w:multiLevelType w:val="multilevel"/>
    <w:tmpl w:val="6AF263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655EF"/>
    <w:multiLevelType w:val="multilevel"/>
    <w:tmpl w:val="0554C57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78644B"/>
    <w:multiLevelType w:val="multilevel"/>
    <w:tmpl w:val="A11AE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B214D4"/>
    <w:multiLevelType w:val="hybridMultilevel"/>
    <w:tmpl w:val="9CBA1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07758"/>
    <w:multiLevelType w:val="multilevel"/>
    <w:tmpl w:val="83FE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022036"/>
    <w:multiLevelType w:val="multilevel"/>
    <w:tmpl w:val="EA4AD0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6146E5"/>
    <w:multiLevelType w:val="multilevel"/>
    <w:tmpl w:val="F3F4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221A73"/>
    <w:multiLevelType w:val="multilevel"/>
    <w:tmpl w:val="A7B20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00707D"/>
    <w:multiLevelType w:val="multilevel"/>
    <w:tmpl w:val="87DC97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994D16"/>
    <w:multiLevelType w:val="multilevel"/>
    <w:tmpl w:val="2BB2C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61CEC"/>
    <w:multiLevelType w:val="multilevel"/>
    <w:tmpl w:val="606EB2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DF2BC5"/>
    <w:multiLevelType w:val="hybridMultilevel"/>
    <w:tmpl w:val="A420FD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16128"/>
    <w:multiLevelType w:val="hybridMultilevel"/>
    <w:tmpl w:val="FBD6F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174121">
    <w:abstractNumId w:val="14"/>
  </w:num>
  <w:num w:numId="2" w16cid:durableId="1880891345">
    <w:abstractNumId w:val="8"/>
  </w:num>
  <w:num w:numId="3" w16cid:durableId="650796432">
    <w:abstractNumId w:val="9"/>
  </w:num>
  <w:num w:numId="4" w16cid:durableId="89856534">
    <w:abstractNumId w:val="17"/>
  </w:num>
  <w:num w:numId="5" w16cid:durableId="272398762">
    <w:abstractNumId w:val="5"/>
  </w:num>
  <w:num w:numId="6" w16cid:durableId="757478754">
    <w:abstractNumId w:val="18"/>
  </w:num>
  <w:num w:numId="7" w16cid:durableId="1789348972">
    <w:abstractNumId w:val="20"/>
  </w:num>
  <w:num w:numId="8" w16cid:durableId="1575235821">
    <w:abstractNumId w:val="6"/>
  </w:num>
  <w:num w:numId="9" w16cid:durableId="1073041564">
    <w:abstractNumId w:val="11"/>
  </w:num>
  <w:num w:numId="10" w16cid:durableId="1216043842">
    <w:abstractNumId w:val="19"/>
  </w:num>
  <w:num w:numId="11" w16cid:durableId="149299889">
    <w:abstractNumId w:val="7"/>
  </w:num>
  <w:num w:numId="12" w16cid:durableId="198862330">
    <w:abstractNumId w:val="1"/>
  </w:num>
  <w:num w:numId="13" w16cid:durableId="1512601960">
    <w:abstractNumId w:val="16"/>
  </w:num>
  <w:num w:numId="14" w16cid:durableId="739404123">
    <w:abstractNumId w:val="15"/>
  </w:num>
  <w:num w:numId="15" w16cid:durableId="63458325">
    <w:abstractNumId w:val="13"/>
  </w:num>
  <w:num w:numId="16" w16cid:durableId="817376582">
    <w:abstractNumId w:val="4"/>
  </w:num>
  <w:num w:numId="17" w16cid:durableId="1001547364">
    <w:abstractNumId w:val="12"/>
  </w:num>
  <w:num w:numId="18" w16cid:durableId="1691570555">
    <w:abstractNumId w:val="10"/>
  </w:num>
  <w:num w:numId="19" w16cid:durableId="1692563203">
    <w:abstractNumId w:val="0"/>
  </w:num>
  <w:num w:numId="20" w16cid:durableId="570696205">
    <w:abstractNumId w:val="2"/>
  </w:num>
  <w:num w:numId="21" w16cid:durableId="1869297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EB"/>
    <w:rsid w:val="0004261C"/>
    <w:rsid w:val="000728C6"/>
    <w:rsid w:val="00197FA0"/>
    <w:rsid w:val="0024724C"/>
    <w:rsid w:val="00391E87"/>
    <w:rsid w:val="003B6198"/>
    <w:rsid w:val="00497BC3"/>
    <w:rsid w:val="004C213F"/>
    <w:rsid w:val="00870418"/>
    <w:rsid w:val="008719C7"/>
    <w:rsid w:val="00894D52"/>
    <w:rsid w:val="00B72EEB"/>
    <w:rsid w:val="00B81067"/>
    <w:rsid w:val="00C21B62"/>
    <w:rsid w:val="00D111D4"/>
    <w:rsid w:val="00EF2BBB"/>
    <w:rsid w:val="00EF69F5"/>
    <w:rsid w:val="00F105C3"/>
    <w:rsid w:val="00FA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26A5"/>
  <w15:chartTrackingRefBased/>
  <w15:docId w15:val="{1C5AEFA4-EF6F-44DF-B2DC-C3B1D935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EEB"/>
    <w:pPr>
      <w:ind w:left="720"/>
      <w:contextualSpacing/>
    </w:pPr>
  </w:style>
  <w:style w:type="paragraph" w:styleId="NoSpacing">
    <w:name w:val="No Spacing"/>
    <w:uiPriority w:val="1"/>
    <w:qFormat/>
    <w:rsid w:val="00497B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6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9F5"/>
  </w:style>
  <w:style w:type="paragraph" w:styleId="Footer">
    <w:name w:val="footer"/>
    <w:basedOn w:val="Normal"/>
    <w:link w:val="FooterChar"/>
    <w:uiPriority w:val="99"/>
    <w:unhideWhenUsed/>
    <w:rsid w:val="00EF6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55a0d-cddd-4f17-b470-127ab24496b3" xsi:nil="true"/>
    <lcf76f155ced4ddcb4097134ff3c332f xmlns="a5e742ad-81b1-42e0-be43-9483076b4056">
      <Terms xmlns="http://schemas.microsoft.com/office/infopath/2007/PartnerControls"/>
    </lcf76f155ced4ddcb4097134ff3c332f>
    <_dlc_DocId xmlns="27555a0d-cddd-4f17-b470-127ab24496b3">T73MNCJEYYRU-1575454833-198705</_dlc_DocId>
    <_dlc_DocIdUrl xmlns="27555a0d-cddd-4f17-b470-127ab24496b3">
      <Url>https://epatrust.sharepoint.com/sites/EPA-StaffSharedAreas/_layouts/15/DocIdRedir.aspx?ID=T73MNCJEYYRU-1575454833-198705</Url>
      <Description>T73MNCJEYYRU-1575454833-198705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B29B622B571439C9C74F993ED2DB3" ma:contentTypeVersion="15" ma:contentTypeDescription="Create a new document." ma:contentTypeScope="" ma:versionID="a35cc12b4c7d52fa0a9866e351c2d639">
  <xsd:schema xmlns:xsd="http://www.w3.org/2001/XMLSchema" xmlns:xs="http://www.w3.org/2001/XMLSchema" xmlns:p="http://schemas.microsoft.com/office/2006/metadata/properties" xmlns:ns2="27555a0d-cddd-4f17-b470-127ab24496b3" xmlns:ns3="a5e742ad-81b1-42e0-be43-9483076b4056" targetNamespace="http://schemas.microsoft.com/office/2006/metadata/properties" ma:root="true" ma:fieldsID="f30e0e32efbba8f9236b8c016a83c6c2" ns2:_="" ns3:_="">
    <xsd:import namespace="27555a0d-cddd-4f17-b470-127ab24496b3"/>
    <xsd:import namespace="a5e742ad-81b1-42e0-be43-9483076b4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5a0d-cddd-4f17-b470-127ab24496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ffb21f6-bfb4-4eb5-8e95-e4fd527a9219}" ma:internalName="TaxCatchAll" ma:showField="CatchAllData" ma:web="27555a0d-cddd-4f17-b470-127ab2449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742ad-81b1-42e0-be43-9483076b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d26bf55-efd0-4526-8113-54329d945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0EA191-EAAF-48E1-8046-DB1C48450C43}">
  <ds:schemaRefs>
    <ds:schemaRef ds:uri="http://schemas.microsoft.com/office/2006/metadata/properties"/>
    <ds:schemaRef ds:uri="http://schemas.microsoft.com/office/infopath/2007/PartnerControls"/>
    <ds:schemaRef ds:uri="27555a0d-cddd-4f17-b470-127ab24496b3"/>
    <ds:schemaRef ds:uri="a5e742ad-81b1-42e0-be43-9483076b4056"/>
  </ds:schemaRefs>
</ds:datastoreItem>
</file>

<file path=customXml/itemProps2.xml><?xml version="1.0" encoding="utf-8"?>
<ds:datastoreItem xmlns:ds="http://schemas.openxmlformats.org/officeDocument/2006/customXml" ds:itemID="{FC2AC1F3-A33A-4F8B-8352-E5D4AD095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5a0d-cddd-4f17-b470-127ab24496b3"/>
    <ds:schemaRef ds:uri="a5e742ad-81b1-42e0-be43-9483076b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CD091-B11A-45FF-A372-1576A9D3B6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95EC9E-1650-4270-9D27-16D9D1EE047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Long</dc:creator>
  <cp:keywords/>
  <dc:description/>
  <cp:lastModifiedBy>James Bird</cp:lastModifiedBy>
  <cp:revision>11</cp:revision>
  <dcterms:created xsi:type="dcterms:W3CDTF">2025-05-14T07:46:00Z</dcterms:created>
  <dcterms:modified xsi:type="dcterms:W3CDTF">2025-06-24T15:09:00Z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0x0101002E3B29B622B571439C9C74F993ED2DB3</vt:lpwstr>
  </property>
  <property fmtid="{D5CDD505-2E9C-101B-9397-08002B2CF9AE}" pid="3" name="_dlc_DocIdItemGuid">
    <vt:lpwstr>cf8af928-789b-4e6c-8cb1-fd6ef216e4cf</vt:lpwstr>
  </property>
  <property fmtid="{D5CDD505-2E9C-101B-9397-08002B2CF9AE}" pid="4" name="MediaServiceImageTags">
    <vt:lpwstr/>
  </property>
</Properties>
</file>