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4F3325" w:rsidRPr="001A5314" w14:paraId="043764D5" w14:textId="77777777" w:rsidTr="004F3325">
        <w:trPr>
          <w:trHeight w:val="337"/>
        </w:trPr>
        <w:tc>
          <w:tcPr>
            <w:tcW w:w="5245" w:type="dxa"/>
            <w:shd w:val="clear" w:color="auto" w:fill="FFCDCD"/>
          </w:tcPr>
          <w:p w14:paraId="5D45099E" w14:textId="69A5B6C6" w:rsidR="004F3325" w:rsidRPr="00512FE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bookmarkStart w:id="0" w:name="_Hlk198795856"/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FFA3A3"/>
          </w:tcPr>
          <w:p w14:paraId="3C8EC7D1" w14:textId="744637D5" w:rsidR="004F3325" w:rsidRPr="00512FE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FF6969"/>
          </w:tcPr>
          <w:p w14:paraId="4C947976" w14:textId="04B6F884" w:rsidR="004F3325" w:rsidRPr="00512FE4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A31 Greater Depth Indicators</w:t>
            </w:r>
          </w:p>
        </w:tc>
      </w:tr>
      <w:bookmarkEnd w:id="0"/>
      <w:tr w:rsidR="004F3325" w:rsidRPr="001A5314" w14:paraId="4D999016" w14:textId="77777777" w:rsidTr="004F3325">
        <w:trPr>
          <w:trHeight w:val="508"/>
        </w:trPr>
        <w:tc>
          <w:tcPr>
            <w:tcW w:w="5245" w:type="dxa"/>
            <w:shd w:val="clear" w:color="auto" w:fill="FFCDCD"/>
          </w:tcPr>
          <w:p w14:paraId="5C23F4CD" w14:textId="4208BC57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Begins to adapt writing for purpose and audience (e.g. uses some technical vocabulary in non-fiction).</w:t>
            </w:r>
          </w:p>
        </w:tc>
        <w:tc>
          <w:tcPr>
            <w:tcW w:w="5812" w:type="dxa"/>
            <w:shd w:val="clear" w:color="auto" w:fill="FFA3A3"/>
          </w:tcPr>
          <w:p w14:paraId="6A7349DE" w14:textId="51A5061C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Writes for different purposes and audiences with increasing awareness (e.g. uses layout and technical terms in information writing).</w:t>
            </w:r>
          </w:p>
        </w:tc>
        <w:tc>
          <w:tcPr>
            <w:tcW w:w="4961" w:type="dxa"/>
            <w:shd w:val="clear" w:color="auto" w:fill="FF6969"/>
          </w:tcPr>
          <w:p w14:paraId="63E5AAFA" w14:textId="32E9C8E5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Writes confidently for a clear purpose and audience, sustaining tone and intent across piece.</w:t>
            </w:r>
          </w:p>
        </w:tc>
      </w:tr>
      <w:tr w:rsidR="004F3325" w:rsidRPr="001A5314" w14:paraId="057A8D58" w14:textId="77777777" w:rsidTr="004F3325">
        <w:trPr>
          <w:trHeight w:val="395"/>
        </w:trPr>
        <w:tc>
          <w:tcPr>
            <w:tcW w:w="5245" w:type="dxa"/>
            <w:shd w:val="clear" w:color="auto" w:fill="FFCDCD"/>
          </w:tcPr>
          <w:p w14:paraId="17396965" w14:textId="26E49728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Begins to plan using structures of familiar text types.</w:t>
            </w:r>
          </w:p>
        </w:tc>
        <w:tc>
          <w:tcPr>
            <w:tcW w:w="5812" w:type="dxa"/>
            <w:shd w:val="clear" w:color="auto" w:fill="FFA3A3"/>
          </w:tcPr>
          <w:p w14:paraId="108D1386" w14:textId="0490C281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Applies appropriate text structure more securely, e.g. paragraphs and layout features.</w:t>
            </w:r>
            <w:r w:rsidRPr="00512FE4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4961" w:type="dxa"/>
            <w:shd w:val="clear" w:color="auto" w:fill="FF6969"/>
          </w:tcPr>
          <w:p w14:paraId="0F32A844" w14:textId="73737B08" w:rsidR="004F3325" w:rsidRPr="00512FE4" w:rsidRDefault="004C5091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Independently applies structures of different text types, including layout devices in non-fiction.</w:t>
            </w:r>
          </w:p>
        </w:tc>
      </w:tr>
      <w:tr w:rsidR="004F3325" w:rsidRPr="001A5314" w14:paraId="3F83BEC3" w14:textId="77777777" w:rsidTr="004F3325">
        <w:trPr>
          <w:trHeight w:val="261"/>
        </w:trPr>
        <w:tc>
          <w:tcPr>
            <w:tcW w:w="5245" w:type="dxa"/>
            <w:shd w:val="clear" w:color="auto" w:fill="FFCDCD"/>
          </w:tcPr>
          <w:p w14:paraId="498D14BA" w14:textId="3CAB29D0" w:rsidR="004F3325" w:rsidRPr="00512FE4" w:rsidRDefault="004C5091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Begins to proofread own and peer writing with basic suggestions.</w:t>
            </w:r>
          </w:p>
        </w:tc>
        <w:tc>
          <w:tcPr>
            <w:tcW w:w="5812" w:type="dxa"/>
            <w:shd w:val="clear" w:color="auto" w:fill="FFA3A3"/>
          </w:tcPr>
          <w:p w14:paraId="44610068" w14:textId="40073154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Actively suggests improvements in peer work and edits own writing.</w:t>
            </w:r>
          </w:p>
        </w:tc>
        <w:tc>
          <w:tcPr>
            <w:tcW w:w="4961" w:type="dxa"/>
            <w:shd w:val="clear" w:color="auto" w:fill="FF6969"/>
          </w:tcPr>
          <w:p w14:paraId="585971A4" w14:textId="0DD02173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Redrafts effectively to improve impact, accuracy and clarity.</w:t>
            </w:r>
          </w:p>
        </w:tc>
      </w:tr>
      <w:tr w:rsidR="004F3325" w:rsidRPr="001A5314" w14:paraId="63DFA35F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3C3A172E" w14:textId="635A21D0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Makes some deliberate word choices for effect (e.g. vivid adjectives).</w:t>
            </w:r>
          </w:p>
        </w:tc>
        <w:tc>
          <w:tcPr>
            <w:tcW w:w="5812" w:type="dxa"/>
            <w:shd w:val="clear" w:color="auto" w:fill="FFA3A3"/>
          </w:tcPr>
          <w:p w14:paraId="1B981F79" w14:textId="063AF529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ambitious vocabulary across genres (narrative and non-fiction).</w:t>
            </w:r>
          </w:p>
        </w:tc>
        <w:tc>
          <w:tcPr>
            <w:tcW w:w="4961" w:type="dxa"/>
            <w:shd w:val="clear" w:color="auto" w:fill="FF6969"/>
          </w:tcPr>
          <w:p w14:paraId="35FC1DAE" w14:textId="0E3132DA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Makes precise vocabulary choices to engage and affect the reader.</w:t>
            </w:r>
            <w:r w:rsidRPr="00512FE4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4F3325" w:rsidRPr="001A5314" w14:paraId="17F1B822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158B5BF7" w14:textId="059DF1D7" w:rsidR="004F3325" w:rsidRPr="00512FE4" w:rsidRDefault="004C5091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Begins to create settings, characters, and events beyond basic templates.</w:t>
            </w:r>
          </w:p>
        </w:tc>
        <w:tc>
          <w:tcPr>
            <w:tcW w:w="5812" w:type="dxa"/>
            <w:shd w:val="clear" w:color="auto" w:fill="FFA3A3"/>
          </w:tcPr>
          <w:p w14:paraId="1E53CE27" w14:textId="0B359774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Develops characters, setting and plot with some originality.</w:t>
            </w:r>
          </w:p>
        </w:tc>
        <w:tc>
          <w:tcPr>
            <w:tcW w:w="4961" w:type="dxa"/>
            <w:shd w:val="clear" w:color="auto" w:fill="FF6969"/>
          </w:tcPr>
          <w:p w14:paraId="10186338" w14:textId="34918DDE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Creates cohesive, imaginative narratives with a clear structure, character and setting.</w:t>
            </w:r>
          </w:p>
        </w:tc>
      </w:tr>
      <w:tr w:rsidR="004F3325" w:rsidRPr="001A5314" w14:paraId="0CBF3EF4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1DD71428" w14:textId="611352C2" w:rsidR="004F3325" w:rsidRPr="00512FE4" w:rsidRDefault="004C5091" w:rsidP="004C50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Groups related ideas into sections or early paragraphs.</w:t>
            </w:r>
          </w:p>
        </w:tc>
        <w:tc>
          <w:tcPr>
            <w:tcW w:w="5812" w:type="dxa"/>
            <w:shd w:val="clear" w:color="auto" w:fill="FFA3A3"/>
          </w:tcPr>
          <w:p w14:paraId="5F2D03CB" w14:textId="30D31C24" w:rsidR="004F3325" w:rsidRPr="00512FE4" w:rsidRDefault="004C5091" w:rsidP="004C50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paragraphs to organise ideas around a theme.</w:t>
            </w:r>
          </w:p>
        </w:tc>
        <w:tc>
          <w:tcPr>
            <w:tcW w:w="4961" w:type="dxa"/>
            <w:shd w:val="clear" w:color="auto" w:fill="FF6969"/>
          </w:tcPr>
          <w:p w14:paraId="5CF7649A" w14:textId="772EC44B" w:rsidR="004F3325" w:rsidRPr="00512FE4" w:rsidRDefault="004C5091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Independently paragraphs writing with consistent focus on one theme or idea per paragraph.</w:t>
            </w:r>
          </w:p>
        </w:tc>
      </w:tr>
      <w:tr w:rsidR="004F3325" w:rsidRPr="001A5314" w14:paraId="4EE388C7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11142268" w14:textId="77777777" w:rsidR="004C5091" w:rsidRPr="00512FE4" w:rsidRDefault="004C5091" w:rsidP="004C5091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6E2C776" w14:textId="7224C54C" w:rsidR="004F3325" w:rsidRPr="00512FE4" w:rsidRDefault="004C5091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-Model what different audiences need (e.g. children vs adults).</w:t>
            </w:r>
            <w:r w:rsidRPr="00512FE4">
              <w:rPr>
                <w:rFonts w:cstheme="minorHAnsi"/>
                <w:sz w:val="16"/>
                <w:szCs w:val="16"/>
              </w:rPr>
              <w:br/>
              <w:t>-Support with scaffolded planning formats for reports and narratives.</w:t>
            </w:r>
            <w:r w:rsidRPr="00512FE4">
              <w:rPr>
                <w:rFonts w:cstheme="minorHAnsi"/>
                <w:sz w:val="16"/>
                <w:szCs w:val="16"/>
              </w:rPr>
              <w:br/>
              <w:t>-Introduce peer-editing language: "Can you add...?", "What if you changed...?"</w:t>
            </w:r>
            <w:r w:rsidRPr="00512FE4">
              <w:rPr>
                <w:rFonts w:cstheme="minorHAnsi"/>
                <w:sz w:val="16"/>
                <w:szCs w:val="16"/>
              </w:rPr>
              <w:br/>
              <w:t>-Teach specific vocabulary for effect; compare basic vs ambitious choices.</w:t>
            </w:r>
            <w:r w:rsidRPr="00512FE4">
              <w:rPr>
                <w:rFonts w:cstheme="minorHAnsi"/>
                <w:sz w:val="16"/>
                <w:szCs w:val="16"/>
              </w:rPr>
              <w:br/>
              <w:t>-Model narrative development using story mountains and rich character description.</w:t>
            </w:r>
            <w:r w:rsidRPr="00512FE4">
              <w:rPr>
                <w:rFonts w:cstheme="minorHAnsi"/>
                <w:sz w:val="16"/>
                <w:szCs w:val="16"/>
              </w:rPr>
              <w:br/>
              <w:t>-Teach paragraph basics using TIPTOP rule and visual grouping activities.</w:t>
            </w:r>
          </w:p>
        </w:tc>
        <w:tc>
          <w:tcPr>
            <w:tcW w:w="5812" w:type="dxa"/>
            <w:shd w:val="clear" w:color="auto" w:fill="FFA3A3"/>
          </w:tcPr>
          <w:p w14:paraId="33C84425" w14:textId="77777777" w:rsidR="004C5091" w:rsidRPr="00512FE4" w:rsidRDefault="004C5091" w:rsidP="004C5091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050AC626" w14:textId="022B30B1" w:rsidR="004F3325" w:rsidRPr="00512FE4" w:rsidRDefault="004C5091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-Support purposeful word and sentence-level choices based on audience (e.g. younger readers, older readers).</w:t>
            </w:r>
            <w:r w:rsidRPr="00512FE4">
              <w:rPr>
                <w:rFonts w:cstheme="minorHAnsi"/>
                <w:sz w:val="16"/>
                <w:szCs w:val="16"/>
              </w:rPr>
              <w:br/>
              <w:t>-Use model texts to compare structures of different genres.</w:t>
            </w:r>
            <w:r w:rsidRPr="00512FE4">
              <w:rPr>
                <w:rFonts w:cstheme="minorHAnsi"/>
                <w:sz w:val="16"/>
                <w:szCs w:val="16"/>
              </w:rPr>
              <w:br/>
              <w:t>-Teach redrafting with a focus (e.g. improving cohesion or tone).</w:t>
            </w:r>
            <w:r w:rsidRPr="00512FE4">
              <w:rPr>
                <w:rFonts w:cstheme="minorHAnsi"/>
                <w:sz w:val="16"/>
                <w:szCs w:val="16"/>
              </w:rPr>
              <w:br/>
              <w:t>-Explore how vocabulary impacts tone; introduce thesaurus strategies.</w:t>
            </w:r>
            <w:r w:rsidRPr="00512FE4">
              <w:rPr>
                <w:rFonts w:cstheme="minorHAnsi"/>
                <w:sz w:val="16"/>
                <w:szCs w:val="16"/>
              </w:rPr>
              <w:br/>
              <w:t>-Model how plot, setting and character interlink.</w:t>
            </w:r>
            <w:r w:rsidRPr="00512FE4">
              <w:rPr>
                <w:rFonts w:cstheme="minorHAnsi"/>
                <w:sz w:val="16"/>
                <w:szCs w:val="16"/>
              </w:rPr>
              <w:br/>
              <w:t>-Use paragraph planning and paragraphing checklists.</w:t>
            </w:r>
          </w:p>
        </w:tc>
        <w:tc>
          <w:tcPr>
            <w:tcW w:w="4961" w:type="dxa"/>
            <w:shd w:val="clear" w:color="auto" w:fill="FF6969"/>
          </w:tcPr>
          <w:p w14:paraId="09604FD6" w14:textId="5E75F7ED" w:rsidR="004F3325" w:rsidRPr="00512FE4" w:rsidRDefault="004C5091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  <w:r w:rsidRPr="00512FE4">
              <w:rPr>
                <w:rFonts w:cstheme="minorHAnsi"/>
                <w:sz w:val="16"/>
                <w:szCs w:val="16"/>
              </w:rPr>
              <w:br/>
            </w:r>
            <w:r w:rsidR="000972AF" w:rsidRPr="00512FE4">
              <w:rPr>
                <w:rFonts w:cstheme="minorHAnsi"/>
                <w:sz w:val="16"/>
                <w:szCs w:val="16"/>
              </w:rPr>
              <w:t>-Challenge pupils to make choices based on effect (e.g. more formal for a report; suspenseful language for a mystery story).</w:t>
            </w:r>
            <w:r w:rsidR="000972AF" w:rsidRPr="00512FE4">
              <w:rPr>
                <w:rFonts w:cstheme="minorHAnsi"/>
                <w:sz w:val="16"/>
                <w:szCs w:val="16"/>
              </w:rPr>
              <w:br/>
              <w:t>-Encourage independent structure planning using WAGOLLs as a reference.</w:t>
            </w:r>
            <w:r w:rsidR="000972AF" w:rsidRPr="00512FE4">
              <w:rPr>
                <w:rFonts w:cstheme="minorHAnsi"/>
                <w:sz w:val="16"/>
                <w:szCs w:val="16"/>
              </w:rPr>
              <w:br/>
              <w:t>-Model redrafting based on purpose: “What do you want your reader to feel?”</w:t>
            </w:r>
            <w:r w:rsidR="000972AF" w:rsidRPr="00512FE4">
              <w:rPr>
                <w:rFonts w:cstheme="minorHAnsi"/>
                <w:sz w:val="16"/>
                <w:szCs w:val="16"/>
              </w:rPr>
              <w:br/>
              <w:t>-Expect precise, vivid language and evidence of deliberate vocabulary choices.</w:t>
            </w:r>
            <w:r w:rsidR="000972AF" w:rsidRPr="00512FE4">
              <w:rPr>
                <w:rFonts w:cstheme="minorHAnsi"/>
                <w:sz w:val="16"/>
                <w:szCs w:val="16"/>
              </w:rPr>
              <w:br/>
              <w:t>-Teach how to sustain narrative tone and style across paragraphs.</w:t>
            </w:r>
            <w:r w:rsidR="000972AF" w:rsidRPr="00512FE4">
              <w:rPr>
                <w:rFonts w:cstheme="minorHAnsi"/>
                <w:sz w:val="16"/>
                <w:szCs w:val="16"/>
              </w:rPr>
              <w:br/>
              <w:t>-Use paired editing to refine paragraph unity.</w:t>
            </w:r>
          </w:p>
        </w:tc>
      </w:tr>
      <w:tr w:rsidR="004F3325" w:rsidRPr="001A5314" w14:paraId="3FB010CA" w14:textId="77777777" w:rsidTr="004F3325">
        <w:trPr>
          <w:trHeight w:val="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9FFB9"/>
          </w:tcPr>
          <w:p w14:paraId="5D0CCADC" w14:textId="61D26199" w:rsidR="004F3325" w:rsidRPr="00512FE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65FF65"/>
          </w:tcPr>
          <w:p w14:paraId="4ECF436C" w14:textId="6E538131" w:rsidR="004F3325" w:rsidRPr="00512FE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FE00"/>
          </w:tcPr>
          <w:p w14:paraId="005A567D" w14:textId="7948D063" w:rsidR="004F3325" w:rsidRPr="00512FE4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512FE4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4F3325" w:rsidRPr="001A5314" w14:paraId="4A4AFCA7" w14:textId="77777777" w:rsidTr="007D05D3">
        <w:trPr>
          <w:trHeight w:val="550"/>
        </w:trPr>
        <w:tc>
          <w:tcPr>
            <w:tcW w:w="5245" w:type="dxa"/>
            <w:shd w:val="clear" w:color="auto" w:fill="B9FFB9"/>
          </w:tcPr>
          <w:p w14:paraId="6080E867" w14:textId="5719E13D" w:rsidR="004F3325" w:rsidRPr="00512FE4" w:rsidRDefault="00804B2E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Writes mostly in correct tense, especially progressive tense.</w:t>
            </w:r>
          </w:p>
        </w:tc>
        <w:tc>
          <w:tcPr>
            <w:tcW w:w="5812" w:type="dxa"/>
            <w:shd w:val="clear" w:color="auto" w:fill="65FF65"/>
          </w:tcPr>
          <w:p w14:paraId="4C609B26" w14:textId="6F5F5073" w:rsidR="004F3325" w:rsidRPr="00512FE4" w:rsidRDefault="00512FE4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Maintains consistent tense across a piece, including present perfect where appropriate.</w:t>
            </w:r>
          </w:p>
        </w:tc>
        <w:tc>
          <w:tcPr>
            <w:tcW w:w="4961" w:type="dxa"/>
            <w:shd w:val="clear" w:color="auto" w:fill="00FE00"/>
          </w:tcPr>
          <w:p w14:paraId="312CD194" w14:textId="42C1615C" w:rsidR="004F3325" w:rsidRPr="00512FE4" w:rsidRDefault="00512FE4" w:rsidP="00271D3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512FE4">
              <w:rPr>
                <w:rFonts w:asciiTheme="minorHAnsi" w:hAnsiTheme="minorHAnsi" w:cstheme="minorHAnsi"/>
                <w:sz w:val="16"/>
                <w:szCs w:val="16"/>
              </w:rPr>
              <w:t>– Maintains consistent tense and subject/verb agreement, including present perfect.</w:t>
            </w:r>
          </w:p>
        </w:tc>
      </w:tr>
      <w:tr w:rsidR="004F3325" w:rsidRPr="001A5314" w14:paraId="7F2E4C3E" w14:textId="77777777" w:rsidTr="004F3325">
        <w:trPr>
          <w:trHeight w:val="415"/>
        </w:trPr>
        <w:tc>
          <w:tcPr>
            <w:tcW w:w="5245" w:type="dxa"/>
            <w:shd w:val="clear" w:color="auto" w:fill="B9FFB9"/>
          </w:tcPr>
          <w:p w14:paraId="39CB804A" w14:textId="0D1C03A3" w:rsidR="004F3325" w:rsidRPr="00512FE4" w:rsidRDefault="00804B2E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Subject/verb agreement is mostly accurate.</w:t>
            </w:r>
          </w:p>
        </w:tc>
        <w:tc>
          <w:tcPr>
            <w:tcW w:w="5812" w:type="dxa"/>
            <w:shd w:val="clear" w:color="auto" w:fill="65FF65"/>
          </w:tcPr>
          <w:p w14:paraId="4F0566C1" w14:textId="14E53CB3" w:rsidR="004F3325" w:rsidRPr="00512FE4" w:rsidRDefault="00512FE4" w:rsidP="00271D31">
            <w:pPr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Subject/verb agreement secure in complex sentences.</w:t>
            </w:r>
          </w:p>
        </w:tc>
        <w:tc>
          <w:tcPr>
            <w:tcW w:w="4961" w:type="dxa"/>
            <w:shd w:val="clear" w:color="auto" w:fill="00FE00"/>
          </w:tcPr>
          <w:p w14:paraId="1D43EC15" w14:textId="0D09F2E4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full range of punctuation accurately and for effect, including in speech.</w:t>
            </w:r>
          </w:p>
        </w:tc>
      </w:tr>
      <w:tr w:rsidR="004F3325" w:rsidRPr="001A5314" w14:paraId="2D3EBDCF" w14:textId="77777777" w:rsidTr="004F3325">
        <w:trPr>
          <w:trHeight w:val="266"/>
        </w:trPr>
        <w:tc>
          <w:tcPr>
            <w:tcW w:w="5245" w:type="dxa"/>
            <w:shd w:val="clear" w:color="auto" w:fill="B9FFB9"/>
          </w:tcPr>
          <w:p w14:paraId="2E2FE0A8" w14:textId="00262DBD" w:rsidR="004F3325" w:rsidRPr="00512FE4" w:rsidRDefault="00804B2E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a full range of punctuation from previous year groups.</w:t>
            </w:r>
          </w:p>
        </w:tc>
        <w:tc>
          <w:tcPr>
            <w:tcW w:w="5812" w:type="dxa"/>
            <w:shd w:val="clear" w:color="auto" w:fill="65FF65"/>
          </w:tcPr>
          <w:p w14:paraId="7DCA69DD" w14:textId="5F56D93E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all expected punctuation accurately, including speech punctuation.</w:t>
            </w:r>
          </w:p>
        </w:tc>
        <w:tc>
          <w:tcPr>
            <w:tcW w:w="4961" w:type="dxa"/>
            <w:shd w:val="clear" w:color="auto" w:fill="00FE00"/>
          </w:tcPr>
          <w:p w14:paraId="594C4582" w14:textId="125DC463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a variety of subordinate clauses for clarity and control.</w:t>
            </w:r>
            <w:r w:rsidRPr="00512FE4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4F3325" w:rsidRPr="001A5314" w14:paraId="5A5606E4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5B047E4C" w14:textId="4D057444" w:rsidR="004F3325" w:rsidRPr="00512FE4" w:rsidRDefault="00804B2E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Starts to use inverted commas for speech.</w:t>
            </w:r>
          </w:p>
        </w:tc>
        <w:tc>
          <w:tcPr>
            <w:tcW w:w="5812" w:type="dxa"/>
            <w:shd w:val="clear" w:color="auto" w:fill="65FF65"/>
          </w:tcPr>
          <w:p w14:paraId="566E0A1E" w14:textId="7210063F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subordinate clauses flexibly, including at sentence openers.</w:t>
            </w:r>
          </w:p>
        </w:tc>
        <w:tc>
          <w:tcPr>
            <w:tcW w:w="4961" w:type="dxa"/>
            <w:shd w:val="clear" w:color="auto" w:fill="00FE00"/>
          </w:tcPr>
          <w:p w14:paraId="5686F8F0" w14:textId="2E5099EE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Varies sentence openers using conjunctions, adverbs and prepositions.</w:t>
            </w:r>
          </w:p>
        </w:tc>
      </w:tr>
      <w:tr w:rsidR="00742228" w:rsidRPr="001A5314" w14:paraId="63D9136E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682F14FE" w14:textId="3B63E795" w:rsidR="00742228" w:rsidRPr="00512FE4" w:rsidRDefault="00804B2E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subordinate clauses introduced by conjunctions.</w:t>
            </w:r>
          </w:p>
        </w:tc>
        <w:tc>
          <w:tcPr>
            <w:tcW w:w="5812" w:type="dxa"/>
            <w:shd w:val="clear" w:color="auto" w:fill="65FF65"/>
          </w:tcPr>
          <w:p w14:paraId="71454915" w14:textId="3A3689AC" w:rsidR="00742228" w:rsidRPr="00512FE4" w:rsidRDefault="00512FE4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conjunctions, adverbs and prepositions to express time, place and cause.</w:t>
            </w:r>
          </w:p>
        </w:tc>
        <w:tc>
          <w:tcPr>
            <w:tcW w:w="4961" w:type="dxa"/>
            <w:shd w:val="clear" w:color="auto" w:fill="00FE00"/>
          </w:tcPr>
          <w:p w14:paraId="0A11B1A7" w14:textId="67288794" w:rsidR="00742228" w:rsidRPr="00512FE4" w:rsidRDefault="00512FE4" w:rsidP="00271D31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‘a’ or ‘an’ correctly and without error.</w:t>
            </w:r>
          </w:p>
        </w:tc>
      </w:tr>
      <w:tr w:rsidR="004F3325" w:rsidRPr="001A5314" w14:paraId="346ADBC2" w14:textId="77777777" w:rsidTr="004F3325">
        <w:trPr>
          <w:trHeight w:val="50"/>
        </w:trPr>
        <w:tc>
          <w:tcPr>
            <w:tcW w:w="5245" w:type="dxa"/>
            <w:shd w:val="clear" w:color="auto" w:fill="B9FFB9"/>
          </w:tcPr>
          <w:p w14:paraId="3153446D" w14:textId="3A42EEDC" w:rsidR="004F3325" w:rsidRPr="00512FE4" w:rsidRDefault="00804B2E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‘a’ or ‘an’ correctly in most cases.</w:t>
            </w:r>
          </w:p>
        </w:tc>
        <w:tc>
          <w:tcPr>
            <w:tcW w:w="5812" w:type="dxa"/>
            <w:shd w:val="clear" w:color="auto" w:fill="65FF65"/>
          </w:tcPr>
          <w:p w14:paraId="6274DD24" w14:textId="5A51D298" w:rsidR="004F3325" w:rsidRPr="00512FE4" w:rsidRDefault="00512FE4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– Uses ‘a’ or ‘an’ correctly throughout.</w:t>
            </w:r>
          </w:p>
        </w:tc>
        <w:tc>
          <w:tcPr>
            <w:tcW w:w="4961" w:type="dxa"/>
            <w:shd w:val="clear" w:color="auto" w:fill="00FE00"/>
          </w:tcPr>
          <w:p w14:paraId="38549C39" w14:textId="23E001CE" w:rsidR="004F3325" w:rsidRPr="00512FE4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4F3325" w:rsidRPr="001A5314" w14:paraId="205B5F25" w14:textId="77777777" w:rsidTr="004F3325">
        <w:trPr>
          <w:trHeight w:val="245"/>
        </w:trPr>
        <w:tc>
          <w:tcPr>
            <w:tcW w:w="5245" w:type="dxa"/>
            <w:shd w:val="clear" w:color="auto" w:fill="B9FFB9"/>
          </w:tcPr>
          <w:p w14:paraId="6188FF98" w14:textId="77777777" w:rsidR="007D05D3" w:rsidRPr="00512FE4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027D6225" w14:textId="5EB4CCD6" w:rsidR="007D05D3" w:rsidRPr="00512FE4" w:rsidRDefault="00804B2E" w:rsidP="007D05D3">
            <w:pPr>
              <w:pStyle w:val="NoSpacing"/>
              <w:rPr>
                <w:rFonts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-Revisit tense types using shared examples.</w:t>
            </w:r>
            <w:r w:rsidRPr="00512FE4">
              <w:rPr>
                <w:rFonts w:cstheme="minorHAnsi"/>
                <w:sz w:val="16"/>
                <w:szCs w:val="16"/>
              </w:rPr>
              <w:br/>
              <w:t>-Teach subject/verb agreement through sentence-building games.</w:t>
            </w:r>
            <w:r w:rsidRPr="00512FE4">
              <w:rPr>
                <w:rFonts w:cstheme="minorHAnsi"/>
                <w:sz w:val="16"/>
                <w:szCs w:val="16"/>
              </w:rPr>
              <w:br/>
              <w:t>-Re-teach basics of punctuation using WAGOLLs and editing tasks.</w:t>
            </w:r>
            <w:r w:rsidRPr="00512FE4">
              <w:rPr>
                <w:rFonts w:cstheme="minorHAnsi"/>
                <w:sz w:val="16"/>
                <w:szCs w:val="16"/>
              </w:rPr>
              <w:br/>
              <w:t>-Introduce speech punctuation in structured steps.</w:t>
            </w:r>
            <w:r w:rsidRPr="00512FE4">
              <w:rPr>
                <w:rFonts w:cstheme="minorHAnsi"/>
                <w:sz w:val="16"/>
                <w:szCs w:val="16"/>
              </w:rPr>
              <w:br/>
              <w:t>-Use sentence starters with subordinate clauses.</w:t>
            </w:r>
            <w:r w:rsidRPr="00512FE4">
              <w:rPr>
                <w:rFonts w:cstheme="minorHAnsi"/>
                <w:sz w:val="16"/>
                <w:szCs w:val="16"/>
              </w:rPr>
              <w:br/>
              <w:t>-Use visuals/mnemonics for “a/an” rules.</w:t>
            </w:r>
          </w:p>
        </w:tc>
        <w:tc>
          <w:tcPr>
            <w:tcW w:w="5812" w:type="dxa"/>
            <w:shd w:val="clear" w:color="auto" w:fill="65FF65"/>
          </w:tcPr>
          <w:p w14:paraId="3C30839B" w14:textId="1C86A016" w:rsidR="00A167A4" w:rsidRPr="00512FE4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F2ACF8E" w14:textId="032654F3" w:rsidR="004F3325" w:rsidRPr="00512FE4" w:rsidRDefault="00512FE4" w:rsidP="00013ED1">
            <w:pPr>
              <w:pStyle w:val="NoSpacing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-Provide opportunities to use and explain present perfect.</w:t>
            </w:r>
            <w:r w:rsidRPr="00512FE4">
              <w:rPr>
                <w:rFonts w:cstheme="minorHAnsi"/>
                <w:sz w:val="16"/>
                <w:szCs w:val="16"/>
              </w:rPr>
              <w:br/>
              <w:t>-Use sentence expansion and correction activities to check agreement.</w:t>
            </w:r>
            <w:r w:rsidRPr="00512FE4">
              <w:rPr>
                <w:rFonts w:cstheme="minorHAnsi"/>
                <w:sz w:val="16"/>
                <w:szCs w:val="16"/>
              </w:rPr>
              <w:br/>
              <w:t>-Include speech punctuation in short daily writing bursts.</w:t>
            </w:r>
            <w:r w:rsidRPr="00512FE4">
              <w:rPr>
                <w:rFonts w:cstheme="minorHAnsi"/>
                <w:sz w:val="16"/>
                <w:szCs w:val="16"/>
              </w:rPr>
              <w:br/>
              <w:t>-Model shifting subordinate clauses for effect.</w:t>
            </w:r>
            <w:r w:rsidRPr="00512FE4">
              <w:rPr>
                <w:rFonts w:cstheme="minorHAnsi"/>
                <w:sz w:val="16"/>
                <w:szCs w:val="16"/>
              </w:rPr>
              <w:br/>
              <w:t>-Teach adverbials of time/place/cause through text annotation.</w:t>
            </w:r>
            <w:r w:rsidRPr="00512FE4">
              <w:rPr>
                <w:rFonts w:cstheme="minorHAnsi"/>
                <w:sz w:val="16"/>
                <w:szCs w:val="16"/>
              </w:rPr>
              <w:br/>
              <w:t>-Apply article rules in independent writing, not just isolated examples.</w:t>
            </w:r>
          </w:p>
        </w:tc>
        <w:tc>
          <w:tcPr>
            <w:tcW w:w="4961" w:type="dxa"/>
            <w:shd w:val="clear" w:color="auto" w:fill="00FE00"/>
          </w:tcPr>
          <w:p w14:paraId="2C35B856" w14:textId="643199E2" w:rsidR="00A167A4" w:rsidRPr="00512FE4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8693136" w14:textId="37F90193" w:rsidR="004F3325" w:rsidRPr="00512FE4" w:rsidRDefault="00512FE4" w:rsidP="008E4972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512FE4">
              <w:rPr>
                <w:rFonts w:cstheme="minorHAnsi"/>
                <w:sz w:val="16"/>
                <w:szCs w:val="16"/>
              </w:rPr>
              <w:t>-Encourage tense shifts only when meaningful (e.g. flashbacks).</w:t>
            </w:r>
            <w:r w:rsidRPr="00512FE4">
              <w:rPr>
                <w:rFonts w:cstheme="minorHAnsi"/>
                <w:sz w:val="16"/>
                <w:szCs w:val="16"/>
              </w:rPr>
              <w:br/>
              <w:t>-Embed speech punctuation within longer pieces.</w:t>
            </w:r>
            <w:r w:rsidRPr="00512FE4">
              <w:rPr>
                <w:rFonts w:cstheme="minorHAnsi"/>
                <w:sz w:val="16"/>
                <w:szCs w:val="16"/>
              </w:rPr>
              <w:br/>
              <w:t>-Model the difference between embedded and fronted subordinate clauses.</w:t>
            </w:r>
            <w:r w:rsidRPr="00512FE4">
              <w:rPr>
                <w:rFonts w:cstheme="minorHAnsi"/>
                <w:sz w:val="16"/>
                <w:szCs w:val="16"/>
              </w:rPr>
              <w:br/>
              <w:t>-Encourage varied sentence structure for pace and clarity.</w:t>
            </w:r>
            <w:r w:rsidRPr="00512FE4">
              <w:rPr>
                <w:rFonts w:cstheme="minorHAnsi"/>
                <w:sz w:val="16"/>
                <w:szCs w:val="16"/>
              </w:rPr>
              <w:br/>
              <w:t>-Continue checking article use during independent writing and editing.</w:t>
            </w:r>
          </w:p>
        </w:tc>
      </w:tr>
      <w:tr w:rsidR="004F3325" w:rsidRPr="001A5314" w14:paraId="2CFA7264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57189A2B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64D0F2"/>
          </w:tcPr>
          <w:p w14:paraId="65DF4A92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13B1E3"/>
          </w:tcPr>
          <w:p w14:paraId="423CB2E8" w14:textId="77777777" w:rsidR="004F3325" w:rsidRPr="001A5314" w:rsidRDefault="004F3325" w:rsidP="00271D31">
            <w:pPr>
              <w:rPr>
                <w:sz w:val="16"/>
                <w:szCs w:val="16"/>
              </w:rPr>
            </w:pPr>
          </w:p>
        </w:tc>
      </w:tr>
    </w:tbl>
    <w:p w14:paraId="1F032F9C" w14:textId="77777777" w:rsidR="00CA71DF" w:rsidRPr="001A5314" w:rsidRDefault="00CA71DF" w:rsidP="00CA71DF">
      <w:pPr>
        <w:rPr>
          <w:sz w:val="16"/>
          <w:szCs w:val="16"/>
        </w:rPr>
      </w:pPr>
    </w:p>
    <w:p w14:paraId="58463FDF" w14:textId="77777777" w:rsidR="00CA71DF" w:rsidRDefault="00CA71DF"/>
    <w:sectPr w:rsidR="00CA71DF" w:rsidSect="00CA7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DFE6" w14:textId="77777777" w:rsidR="00CA71DF" w:rsidRDefault="00CA71DF" w:rsidP="00CA71DF">
      <w:pPr>
        <w:spacing w:after="0" w:line="240" w:lineRule="auto"/>
      </w:pPr>
      <w:r>
        <w:separator/>
      </w:r>
    </w:p>
  </w:endnote>
  <w:endnote w:type="continuationSeparator" w:id="0">
    <w:p w14:paraId="22D933F8" w14:textId="77777777" w:rsidR="00CA71DF" w:rsidRDefault="00CA71DF" w:rsidP="00CA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FE0B" w14:textId="77777777" w:rsidR="00323714" w:rsidRDefault="00323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D3A8" w14:textId="77777777" w:rsidR="00323714" w:rsidRDefault="00323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56D2" w14:textId="77777777" w:rsidR="00323714" w:rsidRDefault="00323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BE11" w14:textId="77777777" w:rsidR="00CA71DF" w:rsidRDefault="00CA71DF" w:rsidP="00CA71DF">
      <w:pPr>
        <w:spacing w:after="0" w:line="240" w:lineRule="auto"/>
      </w:pPr>
      <w:r>
        <w:separator/>
      </w:r>
    </w:p>
  </w:footnote>
  <w:footnote w:type="continuationSeparator" w:id="0">
    <w:p w14:paraId="4AFB3620" w14:textId="77777777" w:rsidR="00CA71DF" w:rsidRDefault="00CA71DF" w:rsidP="00CA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9110" w14:textId="77777777" w:rsidR="00323714" w:rsidRDefault="00323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7078" w14:textId="72C3C1F0" w:rsidR="00CA71DF" w:rsidRPr="00D77E2B" w:rsidRDefault="00D77E2B" w:rsidP="00D77E2B">
    <w:pPr>
      <w:pStyle w:val="Header"/>
      <w:ind w:hanging="993"/>
      <w:rPr>
        <w:b/>
        <w:bCs/>
        <w:sz w:val="36"/>
        <w:szCs w:val="36"/>
      </w:rPr>
    </w:pPr>
    <w:r w:rsidRPr="001B449C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5E4DE08" wp14:editId="28269E84">
          <wp:simplePos x="0" y="0"/>
          <wp:positionH relativeFrom="margin">
            <wp:posOffset>8796655</wp:posOffset>
          </wp:positionH>
          <wp:positionV relativeFrom="paragraph">
            <wp:posOffset>-240030</wp:posOffset>
          </wp:positionV>
          <wp:extent cx="583565" cy="381000"/>
          <wp:effectExtent l="0" t="0" r="6985" b="0"/>
          <wp:wrapNone/>
          <wp:docPr id="17906305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49C">
      <w:rPr>
        <w:b/>
        <w:bCs/>
        <w:sz w:val="36"/>
        <w:szCs w:val="36"/>
      </w:rPr>
      <w:t xml:space="preserve">EPA Trust – Writing </w:t>
    </w:r>
    <w:r w:rsidR="00091566">
      <w:rPr>
        <w:b/>
        <w:bCs/>
        <w:sz w:val="36"/>
        <w:szCs w:val="36"/>
      </w:rPr>
      <w:t>Assessment F</w:t>
    </w:r>
    <w:r w:rsidR="00091566">
      <w:rPr>
        <w:b/>
        <w:bCs/>
        <w:sz w:val="36"/>
        <w:szCs w:val="36"/>
      </w:rPr>
      <w:t>ramework</w:t>
    </w:r>
    <w:r w:rsidRPr="001B449C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3</w:t>
    </w:r>
    <w:r w:rsidRPr="001B449C">
      <w:rPr>
        <w:b/>
        <w:bCs/>
        <w:sz w:val="36"/>
        <w:szCs w:val="36"/>
      </w:rPr>
      <w:t xml:space="preserve"> – GD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15A0" w14:textId="77777777" w:rsidR="00323714" w:rsidRDefault="00323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F"/>
    <w:rsid w:val="00013ED1"/>
    <w:rsid w:val="00052BE3"/>
    <w:rsid w:val="00091566"/>
    <w:rsid w:val="000972AF"/>
    <w:rsid w:val="000B68B0"/>
    <w:rsid w:val="001A5314"/>
    <w:rsid w:val="001C5929"/>
    <w:rsid w:val="002A226A"/>
    <w:rsid w:val="002A3396"/>
    <w:rsid w:val="00323714"/>
    <w:rsid w:val="0033692D"/>
    <w:rsid w:val="004C5091"/>
    <w:rsid w:val="004F3325"/>
    <w:rsid w:val="00512FE4"/>
    <w:rsid w:val="005B177D"/>
    <w:rsid w:val="0061091C"/>
    <w:rsid w:val="00742228"/>
    <w:rsid w:val="00775D8F"/>
    <w:rsid w:val="007D05D3"/>
    <w:rsid w:val="00804B2E"/>
    <w:rsid w:val="008E4972"/>
    <w:rsid w:val="00A167A4"/>
    <w:rsid w:val="00C21B62"/>
    <w:rsid w:val="00CA71DF"/>
    <w:rsid w:val="00D77E2B"/>
    <w:rsid w:val="00E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75D04E"/>
  <w15:chartTrackingRefBased/>
  <w15:docId w15:val="{8FEDDE37-D53E-4F61-98FA-1BA452A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1DF"/>
    <w:rPr>
      <w:b/>
      <w:bCs/>
    </w:rPr>
  </w:style>
  <w:style w:type="character" w:styleId="Emphasis">
    <w:name w:val="Emphasis"/>
    <w:basedOn w:val="DefaultParagraphFont"/>
    <w:uiPriority w:val="20"/>
    <w:qFormat/>
    <w:rsid w:val="00CA7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DF"/>
  </w:style>
  <w:style w:type="paragraph" w:styleId="Footer">
    <w:name w:val="footer"/>
    <w:basedOn w:val="Normal"/>
    <w:link w:val="Foot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DF"/>
  </w:style>
  <w:style w:type="paragraph" w:styleId="NoSpacing">
    <w:name w:val="No Spacing"/>
    <w:uiPriority w:val="1"/>
    <w:qFormat/>
    <w:rsid w:val="007D05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T73MNCJEYYRU-1575454833-198706</_dlc_DocId>
    <_dlc_DocIdUrl xmlns="27555a0d-cddd-4f17-b470-127ab24496b3">
      <Url>https://epatrust.sharepoint.com/sites/EPA-StaffSharedAreas/_layouts/15/DocIdRedir.aspx?ID=T73MNCJEYYRU-1575454833-198706</Url>
      <Description>T73MNCJEYYRU-1575454833-198706</Description>
    </_dlc_DocIdUrl>
  </documentManagement>
</p:properties>
</file>

<file path=customXml/itemProps1.xml><?xml version="1.0" encoding="utf-8"?>
<ds:datastoreItem xmlns:ds="http://schemas.openxmlformats.org/officeDocument/2006/customXml" ds:itemID="{3C2FBF9B-D8C1-467C-ADDB-A2DB77E03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498C-ABA1-43B2-AD21-41A8404AF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2B8D8-B6F3-4C80-B580-2EF2029362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0CA190-B462-4593-BFC8-D6C61643B127}">
  <ds:schemaRefs>
    <ds:schemaRef ds:uri="http://schemas.openxmlformats.org/package/2006/metadata/core-properties"/>
    <ds:schemaRef ds:uri="7b07182f-6847-4af7-b051-c9904057f0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5fc5f31-dd25-4203-b4c2-14b042e4ecf5"/>
    <ds:schemaRef ds:uri="http://www.w3.org/XML/1998/namespace"/>
    <ds:schemaRef ds:uri="http://purl.org/dc/dcmitype/"/>
    <ds:schemaRef ds:uri="27555a0d-cddd-4f17-b470-127ab24496b3"/>
    <ds:schemaRef ds:uri="a5e742ad-81b1-42e0-be43-9483076b4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9</cp:revision>
  <dcterms:created xsi:type="dcterms:W3CDTF">2025-05-22T08:21:00Z</dcterms:created>
  <dcterms:modified xsi:type="dcterms:W3CDTF">2025-06-24T15:08:00Z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2fa3e38d-a867-47f1-8cc5-f760175ff669</vt:lpwstr>
  </property>
  <property fmtid="{D5CDD505-2E9C-101B-9397-08002B2CF9AE}" pid="4" name="MediaServiceImageTags">
    <vt:lpwstr/>
  </property>
</Properties>
</file>