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D5B0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4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2"/>
      </w:tblGrid>
      <w:tr w:rsidR="006658CC" w14:paraId="6764D5B2" w14:textId="77777777">
        <w:trPr>
          <w:trHeight w:val="28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hd w:val="clear" w:color="auto" w:fill="5B9BD5"/>
              </w:rPr>
            </w:pPr>
            <w:r>
              <w:rPr>
                <w:color w:val="FFFFFF"/>
                <w:shd w:val="clear" w:color="auto" w:fill="5B9BD5"/>
              </w:rPr>
              <w:t>Key Concept Questions</w:t>
            </w:r>
          </w:p>
        </w:tc>
      </w:tr>
      <w:tr w:rsidR="006658CC" w14:paraId="6764D5B4" w14:textId="77777777">
        <w:trPr>
          <w:trHeight w:val="279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>How and why did WWII begin?</w:t>
            </w:r>
          </w:p>
        </w:tc>
      </w:tr>
      <w:tr w:rsidR="006658CC" w14:paraId="6764D5B6" w14:textId="77777777">
        <w:trPr>
          <w:trHeight w:val="29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was </w:t>
            </w:r>
            <w:proofErr w:type="gramStart"/>
            <w:r>
              <w:rPr>
                <w:color w:val="000000"/>
                <w:sz w:val="18"/>
                <w:szCs w:val="18"/>
              </w:rPr>
              <w:t>life like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 Britain during WWII?</w:t>
            </w:r>
          </w:p>
        </w:tc>
      </w:tr>
      <w:tr w:rsidR="006658CC" w14:paraId="6764D5B8" w14:textId="77777777">
        <w:trPr>
          <w:trHeight w:val="21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>How did women play their part during the war?</w:t>
            </w:r>
          </w:p>
        </w:tc>
      </w:tr>
      <w:tr w:rsidR="006658CC" w14:paraId="6764D5BA" w14:textId="77777777">
        <w:trPr>
          <w:trHeight w:val="25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significant was the Blitz?</w:t>
            </w:r>
          </w:p>
        </w:tc>
      </w:tr>
      <w:tr w:rsidR="006658CC" w14:paraId="6764D5BC" w14:textId="77777777">
        <w:trPr>
          <w:trHeight w:val="38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>Why was propaganda so powerful?</w:t>
            </w:r>
          </w:p>
        </w:tc>
      </w:tr>
      <w:tr w:rsidR="006658CC" w14:paraId="6764D5BE" w14:textId="77777777">
        <w:trPr>
          <w:trHeight w:val="43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 w:right="592" w:firstLine="7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How do different sources about the events of </w:t>
            </w:r>
            <w:proofErr w:type="gramStart"/>
            <w:r>
              <w:rPr>
                <w:color w:val="000000"/>
                <w:sz w:val="18"/>
                <w:szCs w:val="18"/>
                <w:highlight w:val="white"/>
              </w:rPr>
              <w:t xml:space="preserve">WWII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white"/>
              </w:rPr>
              <w:t>differ</w:t>
            </w:r>
            <w:proofErr w:type="gramEnd"/>
            <w:r>
              <w:rPr>
                <w:color w:val="000000"/>
                <w:sz w:val="18"/>
                <w:szCs w:val="18"/>
                <w:highlight w:val="white"/>
              </w:rPr>
              <w:t>? Why do you think that is?</w:t>
            </w:r>
          </w:p>
        </w:tc>
      </w:tr>
      <w:tr w:rsidR="006658CC" w14:paraId="6764D5C0" w14:textId="77777777">
        <w:trPr>
          <w:trHeight w:val="42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B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7" w:right="112" w:hanging="4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What happened at Dunkirk and how did Churchill use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the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DEEAF6"/>
              </w:rPr>
              <w:t>events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 to influence public opinion?</w:t>
            </w:r>
          </w:p>
        </w:tc>
      </w:tr>
      <w:tr w:rsidR="006658CC" w14:paraId="6764D5C2" w14:textId="77777777">
        <w:trPr>
          <w:trHeight w:val="32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C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What happened during the Battle of Britain?</w:t>
            </w:r>
          </w:p>
        </w:tc>
      </w:tr>
      <w:tr w:rsidR="006658CC" w14:paraId="6764D5C4" w14:textId="77777777">
        <w:trPr>
          <w:trHeight w:val="33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C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>How did the D-Day Landings help Britain to win the war?</w:t>
            </w:r>
          </w:p>
        </w:tc>
      </w:tr>
      <w:tr w:rsidR="006658CC" w14:paraId="6764D5C6" w14:textId="77777777">
        <w:trPr>
          <w:trHeight w:val="32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C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did Oxford play its part in WW2?</w:t>
            </w:r>
          </w:p>
        </w:tc>
      </w:tr>
      <w:tr w:rsidR="006658CC" w14:paraId="6764D5C8" w14:textId="77777777">
        <w:trPr>
          <w:trHeight w:val="420"/>
        </w:trPr>
        <w:tc>
          <w:tcPr>
            <w:tcW w:w="4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C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 w:right="591" w:firstLine="7"/>
              <w:rPr>
                <w:color w:val="000000"/>
                <w:sz w:val="18"/>
                <w:szCs w:val="18"/>
                <w:shd w:val="clear" w:color="auto" w:fill="DEEAF6"/>
              </w:rPr>
            </w:pPr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How did the end of WW2 change the world and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the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DEEAF6"/>
              </w:rPr>
              <w:t>attitude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DEEAF6"/>
              </w:rPr>
              <w:t xml:space="preserve"> to war?</w:t>
            </w:r>
          </w:p>
        </w:tc>
      </w:tr>
    </w:tbl>
    <w:p w14:paraId="6764D5C9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5CA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5CB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Best of British </w:t>
      </w:r>
    </w:p>
    <w:p w14:paraId="6764D5CC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World War Two </w:t>
      </w:r>
    </w:p>
    <w:p w14:paraId="6764D5CD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Kingfishers KCV </w:t>
      </w:r>
    </w:p>
    <w:p w14:paraId="6764D5CE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History Year C</w:t>
      </w:r>
    </w:p>
    <w:p w14:paraId="6764D5CF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764D64B" wp14:editId="6764D64C">
            <wp:extent cx="1314450" cy="8763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764D64D" wp14:editId="6764D64E">
            <wp:extent cx="730250" cy="94488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8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"/>
        <w:gridCol w:w="126"/>
        <w:gridCol w:w="828"/>
        <w:gridCol w:w="157"/>
        <w:gridCol w:w="2053"/>
        <w:gridCol w:w="1273"/>
        <w:gridCol w:w="2207"/>
        <w:gridCol w:w="2053"/>
      </w:tblGrid>
      <w:tr w:rsidR="006658CC" w14:paraId="6764D5D1" w14:textId="77777777" w:rsidTr="002076C4">
        <w:trPr>
          <w:gridBefore w:val="2"/>
          <w:wBefore w:w="283" w:type="dxa"/>
          <w:trHeight w:val="260"/>
        </w:trPr>
        <w:tc>
          <w:tcPr>
            <w:tcW w:w="857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0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  <w:shd w:val="clear" w:color="auto" w:fill="5B9BD5"/>
              </w:rPr>
            </w:pPr>
            <w:r>
              <w:rPr>
                <w:color w:val="FFFFFF"/>
                <w:sz w:val="20"/>
                <w:szCs w:val="20"/>
                <w:shd w:val="clear" w:color="auto" w:fill="5B9BD5"/>
              </w:rPr>
              <w:t>Key Vocabulary</w:t>
            </w:r>
          </w:p>
        </w:tc>
      </w:tr>
      <w:tr w:rsidR="006658CC" w14:paraId="6764D5D4" w14:textId="77777777" w:rsidTr="002076C4">
        <w:trPr>
          <w:gridBefore w:val="2"/>
          <w:wBefore w:w="283" w:type="dxa"/>
          <w:trHeight w:val="560"/>
        </w:trPr>
        <w:tc>
          <w:tcPr>
            <w:tcW w:w="30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2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Allies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180" w:hanging="4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United Kingdom,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France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and Poland. Later joined by other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countries,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including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the USSR (Soviet Union), the United States of America and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China.</w:t>
            </w:r>
          </w:p>
        </w:tc>
      </w:tr>
      <w:tr w:rsidR="006658CC" w14:paraId="6764D5D7" w14:textId="77777777" w:rsidTr="002076C4">
        <w:trPr>
          <w:gridBefore w:val="1"/>
          <w:gridAfter w:val="1"/>
          <w:wBefore w:w="157" w:type="dxa"/>
          <w:wAfter w:w="2053" w:type="dxa"/>
          <w:trHeight w:val="38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Axis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6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6" w:right="742" w:hanging="4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The Axis Powers were originally Germany,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>Japan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and Italy.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Other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countries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joined them later.</w:t>
            </w:r>
          </w:p>
        </w:tc>
      </w:tr>
      <w:tr w:rsidR="002076C4" w14:paraId="3B388F30" w14:textId="77777777" w:rsidTr="002076C4">
        <w:trPr>
          <w:gridBefore w:val="1"/>
          <w:gridAfter w:val="1"/>
          <w:wBefore w:w="157" w:type="dxa"/>
          <w:wAfter w:w="2053" w:type="dxa"/>
          <w:trHeight w:val="26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3B3" w14:textId="77777777" w:rsidR="002076C4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color w:val="000000"/>
                <w:sz w:val="16"/>
                <w:szCs w:val="16"/>
                <w:shd w:val="clear" w:color="auto" w:fill="DEEAF6"/>
              </w:rPr>
            </w:pP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3553" w14:textId="77777777" w:rsidR="002076C4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  <w:shd w:val="clear" w:color="auto" w:fill="DEEAF6"/>
              </w:rPr>
            </w:pPr>
          </w:p>
        </w:tc>
      </w:tr>
      <w:tr w:rsidR="006658CC" w14:paraId="6764D5DA" w14:textId="77777777" w:rsidTr="002076C4">
        <w:trPr>
          <w:gridAfter w:val="2"/>
          <w:wAfter w:w="4260" w:type="dxa"/>
          <w:trHeight w:val="26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8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evacuation </w:t>
            </w:r>
          </w:p>
        </w:tc>
        <w:tc>
          <w:tcPr>
            <w:tcW w:w="34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Taking people from a dangerous place to a safer one.</w:t>
            </w:r>
          </w:p>
        </w:tc>
      </w:tr>
      <w:tr w:rsidR="006658CC" w14:paraId="6764D5DD" w14:textId="77777777" w:rsidTr="002076C4">
        <w:trPr>
          <w:gridBefore w:val="1"/>
          <w:gridAfter w:val="1"/>
          <w:wBefore w:w="157" w:type="dxa"/>
          <w:wAfter w:w="2053" w:type="dxa"/>
          <w:trHeight w:val="25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rationing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C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Only allowing people to have a certain amount of something.</w:t>
            </w:r>
          </w:p>
        </w:tc>
      </w:tr>
      <w:tr w:rsidR="006658CC" w14:paraId="6764D5E0" w14:textId="77777777" w:rsidTr="002076C4">
        <w:trPr>
          <w:gridBefore w:val="1"/>
          <w:gridAfter w:val="1"/>
          <w:wBefore w:w="157" w:type="dxa"/>
          <w:wAfter w:w="2053" w:type="dxa"/>
          <w:trHeight w:val="24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E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invasion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D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To try and take over a place by force.</w:t>
            </w:r>
          </w:p>
        </w:tc>
      </w:tr>
      <w:tr w:rsidR="006658CC" w14:paraId="6764D5E3" w14:textId="77777777" w:rsidTr="002076C4">
        <w:trPr>
          <w:gridBefore w:val="1"/>
          <w:gridAfter w:val="1"/>
          <w:wBefore w:w="157" w:type="dxa"/>
          <w:wAfter w:w="2053" w:type="dxa"/>
          <w:trHeight w:val="24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propaganda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2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An organised spreading and promoting of predominately political ideas.</w:t>
            </w:r>
          </w:p>
        </w:tc>
      </w:tr>
      <w:tr w:rsidR="006658CC" w14:paraId="6764D5E6" w14:textId="77777777" w:rsidTr="002076C4">
        <w:trPr>
          <w:gridBefore w:val="1"/>
          <w:gridAfter w:val="1"/>
          <w:wBefore w:w="157" w:type="dxa"/>
          <w:wAfter w:w="2053" w:type="dxa"/>
          <w:trHeight w:val="38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4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Nazi party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32" w:right="388" w:hanging="10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 German political party with racist and anti-Jewish ideas, led by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Adolf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Hitler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>.</w:t>
            </w:r>
          </w:p>
        </w:tc>
      </w:tr>
      <w:tr w:rsidR="006658CC" w14:paraId="6764D5E9" w14:textId="77777777" w:rsidTr="002076C4">
        <w:trPr>
          <w:gridBefore w:val="1"/>
          <w:gridAfter w:val="1"/>
          <w:wBefore w:w="157" w:type="dxa"/>
          <w:wAfter w:w="2053" w:type="dxa"/>
          <w:trHeight w:val="38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home front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8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1" w:right="203" w:firstLine="1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Doing things at home to support the war was called ‘fighting on the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home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front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>’.</w:t>
            </w:r>
          </w:p>
        </w:tc>
      </w:tr>
      <w:tr w:rsidR="006658CC" w14:paraId="6764D5EC" w14:textId="77777777" w:rsidTr="002076C4">
        <w:trPr>
          <w:gridBefore w:val="1"/>
          <w:gridAfter w:val="1"/>
          <w:wBefore w:w="157" w:type="dxa"/>
          <w:wAfter w:w="2053" w:type="dxa"/>
          <w:trHeight w:val="24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A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surrender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To surrender is to give up control of something to someone else.</w:t>
            </w:r>
          </w:p>
        </w:tc>
      </w:tr>
      <w:tr w:rsidR="006658CC" w14:paraId="6764D5EF" w14:textId="77777777" w:rsidTr="002076C4">
        <w:trPr>
          <w:gridAfter w:val="2"/>
          <w:wAfter w:w="4260" w:type="dxa"/>
          <w:trHeight w:val="38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dictatorship </w:t>
            </w:r>
          </w:p>
        </w:tc>
        <w:tc>
          <w:tcPr>
            <w:tcW w:w="34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EE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5" w:right="213" w:hanging="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 dictatorship is a form of government where absolute power is held by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a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single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person or small group of people.</w:t>
            </w:r>
          </w:p>
        </w:tc>
      </w:tr>
      <w:tr w:rsidR="006658CC" w14:paraId="6764D5F2" w14:textId="77777777" w:rsidTr="002076C4">
        <w:trPr>
          <w:gridBefore w:val="1"/>
          <w:gridAfter w:val="1"/>
          <w:wBefore w:w="157" w:type="dxa"/>
          <w:wAfter w:w="2053" w:type="dxa"/>
          <w:trHeight w:val="38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0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liberate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 w:right="143" w:hanging="3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To liberate a place or the people in it means to free them from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political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or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military control of another country, area, or group of people.</w:t>
            </w:r>
          </w:p>
        </w:tc>
      </w:tr>
      <w:tr w:rsidR="006658CC" w14:paraId="6764D5F5" w14:textId="77777777" w:rsidTr="002076C4">
        <w:trPr>
          <w:gridBefore w:val="1"/>
          <w:gridAfter w:val="1"/>
          <w:wBefore w:w="157" w:type="dxa"/>
          <w:wAfter w:w="2053" w:type="dxa"/>
          <w:trHeight w:val="240"/>
        </w:trPr>
        <w:tc>
          <w:tcPr>
            <w:tcW w:w="1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troops </w:t>
            </w:r>
          </w:p>
        </w:tc>
        <w:tc>
          <w:tcPr>
            <w:tcW w:w="5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4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Soldiers or armed forces.</w:t>
            </w:r>
          </w:p>
        </w:tc>
      </w:tr>
    </w:tbl>
    <w:p w14:paraId="6764D5F6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5F7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6658CC">
          <w:pgSz w:w="16840" w:h="11900" w:orient="landscape"/>
          <w:pgMar w:top="280" w:right="610" w:bottom="900" w:left="620" w:header="0" w:footer="720" w:gutter="0"/>
          <w:pgNumType w:start="1"/>
          <w:cols w:num="3" w:space="720" w:equalWidth="0">
            <w:col w:w="5220" w:space="0"/>
            <w:col w:w="5220" w:space="0"/>
            <w:col w:w="5220" w:space="0"/>
          </w:cols>
        </w:sectPr>
      </w:pPr>
    </w:p>
    <w:p w14:paraId="6764D5F8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86"/>
      </w:tblGrid>
      <w:tr w:rsidR="006658CC" w14:paraId="6764D5FA" w14:textId="77777777">
        <w:trPr>
          <w:trHeight w:val="26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hd w:val="clear" w:color="auto" w:fill="5B9BD5"/>
              </w:rPr>
            </w:pPr>
            <w:r>
              <w:rPr>
                <w:color w:val="FFFFFF"/>
                <w:shd w:val="clear" w:color="auto" w:fill="5B9BD5"/>
              </w:rPr>
              <w:t>Key Knowledge</w:t>
            </w:r>
          </w:p>
        </w:tc>
      </w:tr>
      <w:tr w:rsidR="006658CC" w14:paraId="6764D5FC" w14:textId="77777777">
        <w:trPr>
          <w:trHeight w:val="38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7" w:right="582" w:hanging="5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World War II began on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3rd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September 1939 and ended on 2nd September 1945. Adolf Hitler rose to power in Germany and formed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National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Socialist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Party (Nazi party), he believed the German race was superior and should rule all of Europe.</w:t>
            </w:r>
          </w:p>
        </w:tc>
      </w:tr>
      <w:tr w:rsidR="006658CC" w14:paraId="6764D5FE" w14:textId="77777777">
        <w:trPr>
          <w:trHeight w:val="37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0" w:right="219" w:firstLine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Britain decl</w:t>
            </w:r>
            <w:r>
              <w:rPr>
                <w:color w:val="000000"/>
                <w:sz w:val="16"/>
                <w:szCs w:val="16"/>
              </w:rPr>
              <w:t xml:space="preserve">ared war on Germany after they invaded Poland on 1st September 1939, breaking the Munich agreement (1938) which stated that they </w:t>
            </w:r>
            <w:proofErr w:type="gramStart"/>
            <w:r>
              <w:rPr>
                <w:color w:val="000000"/>
                <w:sz w:val="16"/>
                <w:szCs w:val="16"/>
              </w:rPr>
              <w:t>would  not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invade any other land.</w:t>
            </w:r>
          </w:p>
        </w:tc>
      </w:tr>
      <w:tr w:rsidR="006658CC" w14:paraId="6764D600" w14:textId="77777777">
        <w:trPr>
          <w:trHeight w:val="38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5F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7" w:right="89" w:hanging="5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second World War was fought between two groups of nations. The Axis Powers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were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led by Germany, Italy and Japan. The Allies included Britain,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Soviet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Union (Russia), France and later, the USA.</w:t>
            </w:r>
          </w:p>
        </w:tc>
      </w:tr>
      <w:tr w:rsidR="006658CC" w14:paraId="6764D602" w14:textId="77777777">
        <w:trPr>
          <w:trHeight w:val="75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At the start of World War II, the Allies were the United Kingdom, </w:t>
            </w:r>
            <w:proofErr w:type="gramStart"/>
            <w:r>
              <w:rPr>
                <w:color w:val="000000"/>
                <w:sz w:val="16"/>
                <w:szCs w:val="16"/>
              </w:rPr>
              <w:t>France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Poland. These nations had made a pact to stand together against Hitler </w:t>
            </w:r>
            <w:proofErr w:type="gramStart"/>
            <w:r>
              <w:rPr>
                <w:color w:val="000000"/>
                <w:sz w:val="16"/>
                <w:szCs w:val="16"/>
              </w:rPr>
              <w:t>and  the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Axis Powers. The Allies were soon joined by the British Commonwealth (South Africa, Canada, Austral</w:t>
            </w:r>
            <w:r>
              <w:rPr>
                <w:color w:val="000000"/>
                <w:sz w:val="16"/>
                <w:szCs w:val="16"/>
              </w:rPr>
              <w:t xml:space="preserve">ia and New Zealand) and then the Soviet </w:t>
            </w:r>
            <w:proofErr w:type="gramStart"/>
            <w:r>
              <w:rPr>
                <w:color w:val="000000"/>
                <w:sz w:val="16"/>
                <w:szCs w:val="16"/>
              </w:rPr>
              <w:t>Union,  the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United States of America and China. Other Allies included British India, the Netherlands and Yugoslavia. In 1942, the Allies were officially named </w:t>
            </w:r>
            <w:proofErr w:type="gramStart"/>
            <w:r>
              <w:rPr>
                <w:color w:val="000000"/>
                <w:sz w:val="16"/>
                <w:szCs w:val="16"/>
              </w:rPr>
              <w:t>as  the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United Nations. The Axis Powers were Germany, </w:t>
            </w:r>
            <w:proofErr w:type="gramStart"/>
            <w:r>
              <w:rPr>
                <w:color w:val="000000"/>
                <w:sz w:val="16"/>
                <w:szCs w:val="16"/>
              </w:rPr>
              <w:t>Jap</w:t>
            </w:r>
            <w:r>
              <w:rPr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Italy, who made a pact to stand together in opposition to the Allies.</w:t>
            </w:r>
          </w:p>
        </w:tc>
      </w:tr>
      <w:tr w:rsidR="006658CC" w14:paraId="6764D604" w14:textId="77777777">
        <w:trPr>
          <w:trHeight w:val="38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6" w:right="738" w:hanging="3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Neville Chamberlain was the British prime minister at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time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and he announced to Britain that they were at war with Germany on 3rd September,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1939. Adolf Hitler was the Führer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Leader of Nazi Germany.</w:t>
            </w:r>
          </w:p>
        </w:tc>
      </w:tr>
      <w:tr w:rsidR="006658CC" w14:paraId="6764D606" w14:textId="77777777">
        <w:trPr>
          <w:trHeight w:val="56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5" w:right="279" w:firstLine="7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During World War II, many people were evacuated from the cities to the countryside where it was believed they would be safer from bombing.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Mostly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children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were evacuated but other evacuees included mothers with very young children, pregnant women, disable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d people, teachers and helpers to look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after the children.</w:t>
            </w:r>
          </w:p>
        </w:tc>
      </w:tr>
      <w:tr w:rsidR="006658CC" w14:paraId="6764D608" w14:textId="77777777">
        <w:trPr>
          <w:trHeight w:val="38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9" w:right="209" w:firstLine="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Britain had to adapt to life during the war and had to take difficult measures to keep themselves safe. This included rationing food and clothing,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practicing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blackouts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to keep safe from bombs and evacuating children to areas less likely to be attacked.</w:t>
            </w:r>
          </w:p>
        </w:tc>
      </w:tr>
      <w:tr w:rsidR="006658CC" w14:paraId="6764D60A" w14:textId="77777777">
        <w:trPr>
          <w:trHeight w:val="74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98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T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he war disrupted the education of many children and over 2,000 school buildings were requisitioned for war use. One in five schools was damaged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by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bombing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>, and air raids frequently stopped lessons for hours, leading to a decline in attendance. Although ma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ny schools were evacuated during the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war,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others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chose to stay open and 'make the best of it', converting cellars and basements, into makeshift classrooms. Teachers, books, paper and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equipment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were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all in short supply.</w:t>
            </w:r>
          </w:p>
        </w:tc>
      </w:tr>
      <w:tr w:rsidR="006658CC" w14:paraId="6764D60C" w14:textId="77777777">
        <w:trPr>
          <w:trHeight w:val="38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 w:right="144" w:firstLine="7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During the war, many children between the ages of 14 and 17 were in full-time employment. They worked in agriculture, in offices and the major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industries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such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as engineering, aircraft production, shipbuilding and vehicle manufacture.</w:t>
            </w:r>
          </w:p>
        </w:tc>
      </w:tr>
      <w:tr w:rsidR="006658CC" w14:paraId="6764D60E" w14:textId="77777777">
        <w:trPr>
          <w:trHeight w:val="75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60" w:firstLine="11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lastRenderedPageBreak/>
              <w:t xml:space="preserve">From 1941 all those aged between 16 and 18 were required to register for some form of national service, even if they had a fu </w:t>
            </w:r>
            <w:proofErr w:type="spellStart"/>
            <w:r>
              <w:rPr>
                <w:color w:val="000000"/>
                <w:sz w:val="16"/>
                <w:szCs w:val="16"/>
                <w:highlight w:val="white"/>
              </w:rPr>
              <w:t>ll</w:t>
            </w:r>
            <w:proofErr w:type="spellEnd"/>
            <w:r>
              <w:rPr>
                <w:color w:val="000000"/>
                <w:sz w:val="16"/>
                <w:szCs w:val="16"/>
                <w:highlight w:val="white"/>
              </w:rPr>
              <w:t xml:space="preserve">-time job. Boys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received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their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call-up papers for the armed forces when they turned 18. Younger children were expected to do th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eir bit by salvaging scrap metal, paper, glass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and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waste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food for recycling. They also raised money for munitions, knitted 'comforts' for the troops, and were encouraged to 'Dig for Victory' in gardens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and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allotments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>.</w:t>
            </w:r>
          </w:p>
        </w:tc>
      </w:tr>
      <w:tr w:rsidR="006658CC" w14:paraId="6764D610" w14:textId="77777777">
        <w:trPr>
          <w:trHeight w:val="740"/>
        </w:trPr>
        <w:tc>
          <w:tcPr>
            <w:tcW w:w="1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0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68" w:firstLine="9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Many countries called on women to h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elp with the war effort and to take on jobs which men usually completed. Women started to work in factories,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drove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buses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and fire engines. It changed the way people viewed women in the workplace forever. Queen Elizabeth II served in the British military i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n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World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War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II - At the age of 19, Princess Elizabeth joined the Auxiliary Territorial Service (ATS). After joining, she trained as a driver and mechanic with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rank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of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Second Subaltern. Five months later she was promoted to Junior Commander, which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was the equivalent of Captain.</w:t>
            </w:r>
          </w:p>
        </w:tc>
      </w:tr>
    </w:tbl>
    <w:p w14:paraId="6764D611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612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4382" w:type="dxa"/>
        <w:tblInd w:w="3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2"/>
      </w:tblGrid>
      <w:tr w:rsidR="006658CC" w14:paraId="6764D614" w14:textId="77777777">
        <w:trPr>
          <w:trHeight w:val="28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  <w:shd w:val="clear" w:color="auto" w:fill="5B9BD5"/>
              </w:rPr>
            </w:pPr>
            <w:r>
              <w:rPr>
                <w:color w:val="FFFFFF"/>
                <w:sz w:val="20"/>
                <w:szCs w:val="20"/>
                <w:shd w:val="clear" w:color="auto" w:fill="5B9BD5"/>
              </w:rPr>
              <w:t>History and Geography Skills</w:t>
            </w:r>
          </w:p>
        </w:tc>
      </w:tr>
      <w:tr w:rsidR="006658CC" w14:paraId="6764D616" w14:textId="77777777">
        <w:trPr>
          <w:trHeight w:val="56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2" w:right="151" w:firstLine="10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Use dates and terms related to the period studied and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passing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of time. Place events from period studied on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timeline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>.</w:t>
            </w:r>
          </w:p>
        </w:tc>
      </w:tr>
      <w:tr w:rsidR="006658CC" w14:paraId="6764D618" w14:textId="77777777">
        <w:trPr>
          <w:trHeight w:val="41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 w:right="117" w:firstLine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Compare life in early and late ‘times’ studied. Compare </w:t>
            </w:r>
            <w:proofErr w:type="gramStart"/>
            <w:r>
              <w:rPr>
                <w:color w:val="000000"/>
                <w:sz w:val="16"/>
                <w:szCs w:val="16"/>
              </w:rPr>
              <w:t>an  aspect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of life with the same aspect from another period.</w:t>
            </w:r>
          </w:p>
        </w:tc>
      </w:tr>
      <w:tr w:rsidR="006658CC" w14:paraId="6764D61A" w14:textId="77777777">
        <w:trPr>
          <w:trHeight w:val="19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Offer some reasons for different versions of events.</w:t>
            </w:r>
          </w:p>
        </w:tc>
      </w:tr>
      <w:tr w:rsidR="006658CC" w14:paraId="6764D61C" w14:textId="77777777">
        <w:trPr>
          <w:trHeight w:val="56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1" w:right="227" w:firstLine="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 range of sources to find out about a period.  Distinguish between different sources- compare </w:t>
            </w:r>
            <w:proofErr w:type="gramStart"/>
            <w:r>
              <w:rPr>
                <w:color w:val="000000"/>
                <w:sz w:val="16"/>
                <w:szCs w:val="16"/>
              </w:rPr>
              <w:t>different  versions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of the same story.</w:t>
            </w:r>
          </w:p>
        </w:tc>
      </w:tr>
      <w:tr w:rsidR="006658CC" w14:paraId="6764D61E" w14:textId="77777777">
        <w:trPr>
          <w:trHeight w:val="56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2" w:right="88" w:firstLine="10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Use the library and internet for research. Begin to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evaluate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the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usefulness of different sources and ask a variety of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questions.</w:t>
            </w:r>
          </w:p>
        </w:tc>
      </w:tr>
      <w:tr w:rsidR="006658CC" w14:paraId="6764D620" w14:textId="77777777">
        <w:trPr>
          <w:trHeight w:val="38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1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2" w:hanging="3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Compare the invasion already learnt about (Romans)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what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is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similar and different?</w:t>
            </w:r>
          </w:p>
        </w:tc>
      </w:tr>
      <w:tr w:rsidR="006658CC" w14:paraId="6764D622" w14:textId="77777777">
        <w:trPr>
          <w:trHeight w:val="75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48" w:firstLine="6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Use maps, atlases, globes and digital/computer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mapping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Google Earth) to locate the countries involved in WW2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and the continents they are in. Locate and name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main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cities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around Oxford.</w:t>
            </w:r>
          </w:p>
        </w:tc>
      </w:tr>
      <w:tr w:rsidR="006658CC" w14:paraId="6764D624" w14:textId="77777777">
        <w:trPr>
          <w:trHeight w:val="38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 w:right="127" w:hanging="3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Compare rural/urban areas in the UK. Types of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settlement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in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Britain, villages, town and cities.</w:t>
            </w:r>
          </w:p>
        </w:tc>
      </w:tr>
      <w:tr w:rsidR="006658CC" w14:paraId="6764D626" w14:textId="77777777">
        <w:trPr>
          <w:trHeight w:val="56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5" w:right="295" w:firstLine="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Study how land in the local area was used during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historical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periods studied. Look at land use in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same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area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today and consider how and why this has c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hanged.</w:t>
            </w:r>
          </w:p>
        </w:tc>
      </w:tr>
      <w:tr w:rsidR="006658CC" w14:paraId="6764D628" w14:textId="77777777">
        <w:trPr>
          <w:trHeight w:val="380"/>
        </w:trPr>
        <w:tc>
          <w:tcPr>
            <w:tcW w:w="4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281" w:firstLine="1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Use atlases/maps to describe and locate places using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4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figure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grid references.</w:t>
            </w:r>
          </w:p>
        </w:tc>
      </w:tr>
    </w:tbl>
    <w:p w14:paraId="6764D629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62A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6658CC">
          <w:type w:val="continuous"/>
          <w:pgSz w:w="16840" w:h="11900" w:orient="landscape"/>
          <w:pgMar w:top="280" w:right="430" w:bottom="900" w:left="570" w:header="0" w:footer="720" w:gutter="0"/>
          <w:cols w:num="2" w:space="720" w:equalWidth="0">
            <w:col w:w="7920" w:space="0"/>
            <w:col w:w="7920" w:space="0"/>
          </w:cols>
        </w:sectPr>
      </w:pPr>
    </w:p>
    <w:p w14:paraId="6764D62B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4448" w:type="dxa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8"/>
      </w:tblGrid>
      <w:tr w:rsidR="006658CC" w14:paraId="6764D62D" w14:textId="77777777">
        <w:trPr>
          <w:trHeight w:val="26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C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hd w:val="clear" w:color="auto" w:fill="5B9BD5"/>
              </w:rPr>
            </w:pPr>
            <w:r>
              <w:rPr>
                <w:color w:val="FFFFFF"/>
                <w:shd w:val="clear" w:color="auto" w:fill="5B9BD5"/>
              </w:rPr>
              <w:t>Key Knowledge</w:t>
            </w:r>
          </w:p>
        </w:tc>
      </w:tr>
      <w:tr w:rsidR="006658CC" w14:paraId="6764D630" w14:textId="77777777">
        <w:trPr>
          <w:trHeight w:val="75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2E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In July 1940, Germany planned a secret mission to invade Britain. They began by sending the Luftwaffe (German air force) to bomb British ships,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764D62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4" w:lineRule="auto"/>
              <w:ind w:left="101" w:right="118" w:firstLine="3"/>
              <w:jc w:val="both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airfields and other targets. RAF (Royal Air Force) planes fought back in what were known as dogfights.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DEEAF6"/>
              </w:rPr>
              <w:t>Believi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n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g they were winning, the Luftwaffe moved on to bombing London on 7th September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1940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start of the Blitz). On 15th September, the Luftwaffe launched another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attack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but the RAF fought back and it was clear that the Germans would not be able to win. Th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is date is commemorated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every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year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as the end of the Battle of Britain.</w:t>
            </w:r>
          </w:p>
        </w:tc>
      </w:tr>
      <w:tr w:rsidR="006658CC" w14:paraId="6764D632" w14:textId="77777777">
        <w:trPr>
          <w:trHeight w:val="38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 w:right="536" w:hanging="3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The Blitz - London was bombed for 77 nights in a row bar 1 night. In the Summer of 1941 about 43,000 people had been killed and over 2 mi </w:t>
            </w:r>
            <w:proofErr w:type="spellStart"/>
            <w:r>
              <w:rPr>
                <w:color w:val="000000"/>
                <w:sz w:val="16"/>
                <w:szCs w:val="16"/>
                <w:highlight w:val="white"/>
              </w:rPr>
              <w:t>llion</w:t>
            </w:r>
            <w:proofErr w:type="spellEnd"/>
            <w:r>
              <w:rPr>
                <w:color w:val="000000"/>
                <w:sz w:val="16"/>
                <w:szCs w:val="16"/>
                <w:highlight w:val="white"/>
              </w:rPr>
              <w:t xml:space="preserve"> were homeless. Rather than move away from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danger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>, the King and Queen decided to remain at Buckingham Palace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 in solidarity with those living through the Blitz.</w:t>
            </w:r>
          </w:p>
        </w:tc>
      </w:tr>
      <w:tr w:rsidR="006658CC" w14:paraId="6764D634" w14:textId="77777777">
        <w:trPr>
          <w:trHeight w:val="74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3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2" w:right="233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Blitz - On the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7th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September, 1940 the German air force changed its strategy of bombing the British air force (Battle of Britain) and began to concentrate on bombing London. Nearly 2,000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people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were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killed or wounded in London's first night of the Blitz. For eight months German airplanes dropped bombs on London and other cities, including Birmingham, Coventry, Sheffield,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Liverpool,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Plymouth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>, Southampton, Portsmouth, and Manchester. These were all pl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aces where factories and other important industries were based. The attack was Adolf Hitler’s attempt at forcing the country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surrender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>.</w:t>
            </w:r>
          </w:p>
        </w:tc>
      </w:tr>
      <w:tr w:rsidR="006658CC" w14:paraId="6764D636" w14:textId="77777777">
        <w:trPr>
          <w:trHeight w:val="38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5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 w:right="158" w:firstLine="4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Propaganda is a way of spreading ideas and influencing people. Both the Allies and the Axis used propaganda to shape public opinion. The Nazis wanted Germans to support the Nazi dictatorship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and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believe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in Nazi ideas. They tried to control forms of communication through censorship and propaganda. </w:t>
            </w:r>
          </w:p>
        </w:tc>
      </w:tr>
      <w:tr w:rsidR="006658CC" w14:paraId="6764D63A" w14:textId="77777777">
        <w:trPr>
          <w:trHeight w:val="56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7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 huge rescue, Operation 'Dynamo', was organised by the Royal Navy to get the troops off the beaches and back to Britain. 338,000 troops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were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764D638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rescued from Dunkirk. The successful evacuation was a great boost to civilian morale and created the 'Dunkirk sp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irit' which helped Britain to fight on in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764D639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2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the summer of 1940.</w:t>
            </w:r>
          </w:p>
        </w:tc>
      </w:tr>
      <w:tr w:rsidR="006658CC" w14:paraId="6764D63C" w14:textId="77777777">
        <w:trPr>
          <w:trHeight w:val="38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B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6" w:right="206" w:hanging="4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lastRenderedPageBreak/>
              <w:t xml:space="preserve">The Battle of Britain was when Germany bombed Great Britain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>in order to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try and destroy their air force and prepare for invasion. It started on July 10th, 1940 and lasted many months as the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 xml:space="preserve">Germans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white"/>
              </w:rPr>
              <w:t>continued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to bomb Britain.</w:t>
            </w:r>
          </w:p>
        </w:tc>
      </w:tr>
      <w:tr w:rsidR="006658CC" w14:paraId="6764D63E" w14:textId="77777777">
        <w:trPr>
          <w:trHeight w:val="56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D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 w:right="286" w:firstLine="7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>D-Day was the largest seaborne invasion in history. On 6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June 1944, Around 156,000 American, British and Canadian troops landed on the beaches of Normandy (France) to attack and gain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victory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over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German forces. This famous battle is sometimes called D-D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ay or the Invasion of Normandy. D-Day was a significant victory as it allowed for Allied forces to regain control on the Western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Front,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changing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the course of the war. Although more battles needed to be fought, liberating France marked the beginning of th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e end of World War II.</w:t>
            </w:r>
          </w:p>
        </w:tc>
      </w:tr>
      <w:tr w:rsidR="006658CC" w14:paraId="6764D640" w14:textId="77777777">
        <w:trPr>
          <w:trHeight w:val="22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3F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Winston Churchill was born in Oxfordshire in 1874 at his family’s home Blenheim Palace.</w:t>
            </w:r>
          </w:p>
        </w:tc>
      </w:tr>
      <w:tr w:rsidR="006658CC" w14:paraId="6764D643" w14:textId="77777777">
        <w:trPr>
          <w:trHeight w:val="93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41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 w:right="352" w:firstLine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Oxford had excellent road and rail connections to the big cities of London,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>Birmingham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and Bristol. Because of these special conditions, the War Government decided to make use of Oxford in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many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significant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ways. The Cowley car factories (Morris Motors, Pr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essed Steel and Radiators) all turned to the production of armaments including tanks and fighter planes. Many government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departments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moved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into Oxford University buildings. The four women’s colleges had modern buildings which were suitable for medical pur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poses, so in St Hugh’s, a specialist hospital was set up for soldiers with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764D642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6" w:right="476" w:hanging="1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serious head wounds. Blenheim Palace was taken over by the Security Service, now known as MI5. This crucial department also n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DEEAF6"/>
              </w:rPr>
              <w:t>eeded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many women as secretaries and clerks. The city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centre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of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Oxford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 escaped being bombed altogether.</w:t>
            </w:r>
          </w:p>
        </w:tc>
      </w:tr>
      <w:tr w:rsidR="006658CC" w14:paraId="6764D645" w14:textId="77777777">
        <w:trPr>
          <w:trHeight w:val="22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44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Many civilians died because of massacres, mass-bombings, </w:t>
            </w: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>disease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and starvation during WWII.</w:t>
            </w:r>
          </w:p>
        </w:tc>
      </w:tr>
      <w:tr w:rsidR="006658CC" w14:paraId="6764D647" w14:textId="77777777">
        <w:trPr>
          <w:trHeight w:val="380"/>
        </w:trPr>
        <w:tc>
          <w:tcPr>
            <w:tcW w:w="14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646" w14:textId="77777777" w:rsidR="006658CC" w:rsidRDefault="00207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404" w:hanging="8"/>
              <w:rPr>
                <w:color w:val="000000"/>
                <w:sz w:val="16"/>
                <w:szCs w:val="16"/>
                <w:shd w:val="clear" w:color="auto" w:fill="DEEAF6"/>
              </w:rPr>
            </w:pPr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The aftermath of WWII was the beginning of a new era for all countries involved, defined by the decline of all European colonial empires and simultaneous rise of two superpowers: the Soviet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DEEAF6"/>
              </w:rPr>
              <w:t xml:space="preserve">Union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DEEAF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DEEAF6"/>
              </w:rPr>
              <w:t>USSR) and the United States (US).</w:t>
            </w:r>
          </w:p>
        </w:tc>
      </w:tr>
    </w:tbl>
    <w:p w14:paraId="6764D648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649" w14:textId="77777777" w:rsidR="006658CC" w:rsidRDefault="006658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64D64A" w14:textId="77777777" w:rsidR="006658CC" w:rsidRDefault="00207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764D64F" wp14:editId="6764D650">
            <wp:extent cx="1117600" cy="16129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6764D651" wp14:editId="6764D652">
            <wp:extent cx="1077595" cy="16192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6764D653" wp14:editId="6764D654">
            <wp:extent cx="4870450" cy="15627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6764D655" wp14:editId="6764D656">
            <wp:extent cx="1903095" cy="21399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13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658CC">
      <w:type w:val="continuous"/>
      <w:pgSz w:w="16840" w:h="11900" w:orient="landscape"/>
      <w:pgMar w:top="280" w:right="430" w:bottom="900" w:left="570" w:header="0" w:footer="720" w:gutter="0"/>
      <w:cols w:space="720" w:equalWidth="0">
        <w:col w:w="158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C"/>
    <w:rsid w:val="002076C4"/>
    <w:rsid w:val="006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D5B0"/>
  <w15:docId w15:val="{E09807EB-C5F9-49B1-A42F-74F03BC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T73MNCJEYYRU-1575454833-143093</_dlc_DocId>
    <_dlc_DocIdUrl xmlns="27555a0d-cddd-4f17-b470-127ab24496b3">
      <Url>https://epatrust.sharepoint.com/sites/EPA-StaffSharedAreas/_layouts/15/DocIdRedir.aspx?ID=T73MNCJEYYRU-1575454833-143093</Url>
      <Description>T73MNCJEYYRU-1575454833-143093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6A6EB-E194-497B-B586-553B95BCD871}">
  <ds:schemaRefs>
    <ds:schemaRef ds:uri="http://schemas.microsoft.com/office/2006/metadata/properties"/>
    <ds:schemaRef ds:uri="http://schemas.microsoft.com/office/infopath/2007/PartnerControls"/>
    <ds:schemaRef ds:uri="27555a0d-cddd-4f17-b470-127ab24496b3"/>
    <ds:schemaRef ds:uri="a5e742ad-81b1-42e0-be43-9483076b4056"/>
  </ds:schemaRefs>
</ds:datastoreItem>
</file>

<file path=customXml/itemProps2.xml><?xml version="1.0" encoding="utf-8"?>
<ds:datastoreItem xmlns:ds="http://schemas.openxmlformats.org/officeDocument/2006/customXml" ds:itemID="{F41A07F4-834C-4003-AD50-71E24B548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1D79B-74D7-40B4-8BCD-13CF474220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F1E8D4-54BD-4C97-ABD6-7AE2BA8B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5a0d-cddd-4f17-b470-127ab24496b3"/>
    <ds:schemaRef ds:uri="a5e742ad-81b1-42e0-be43-9483076b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Hough</cp:lastModifiedBy>
  <cp:revision>2</cp:revision>
  <dcterms:created xsi:type="dcterms:W3CDTF">2024-02-21T08:42:00Z</dcterms:created>
  <dcterms:modified xsi:type="dcterms:W3CDTF">2024-02-21T08:43:00Z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43bcb153-e9ad-4dee-a50c-ad6b013d3e59</vt:lpwstr>
  </property>
  <property fmtid="{D5CDD505-2E9C-101B-9397-08002B2CF9AE}" pid="4" name="MediaServiceImageTags">
    <vt:lpwstr/>
  </property>
</Properties>
</file>